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62" w:rsidRDefault="009A73E9" w:rsidP="000A0425">
      <w:pPr>
        <w:pStyle w:val="Heading1"/>
        <w:spacing w:before="0" w:beforeAutospacing="0" w:after="0" w:afterAutospacing="0"/>
        <w:ind w:left="0"/>
        <w:rPr>
          <w:sz w:val="52"/>
          <w:szCs w:val="52"/>
        </w:rPr>
      </w:pP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-3792855</wp:posOffset>
                </wp:positionH>
                <wp:positionV relativeFrom="paragraph">
                  <wp:posOffset>3867150</wp:posOffset>
                </wp:positionV>
                <wp:extent cx="8286115" cy="932180"/>
                <wp:effectExtent l="8255" t="8890" r="12065" b="1079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8286115" cy="93218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98.65pt;margin-top:304.5pt;width:652.45pt;height:73.4pt;rotation:-90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" fillcolor="#ff9"/>
            </w:pict>
          </mc:Fallback>
        </mc:AlternateContent>
      </w:r>
    </w:p>
    <w:p w:rsidR="00CD3EC2" w:rsidRPr="004F7D25" w:rsidRDefault="00166880" w:rsidP="000A0425">
      <w:pPr>
        <w:pStyle w:val="Heading1"/>
        <w:spacing w:before="0" w:beforeAutospacing="0" w:after="0" w:afterAutospacing="0"/>
        <w:ind w:left="0"/>
        <w:jc w:val="center"/>
        <w:rPr>
          <w:sz w:val="56"/>
          <w:szCs w:val="56"/>
        </w:rPr>
      </w:pPr>
      <w:r>
        <w:rPr>
          <w:sz w:val="56"/>
          <w:szCs w:val="56"/>
        </w:rPr>
        <w:t>Whitman</w:t>
      </w:r>
      <w:r w:rsidR="00CD3EC2" w:rsidRPr="004F7D25">
        <w:rPr>
          <w:sz w:val="56"/>
          <w:szCs w:val="56"/>
        </w:rPr>
        <w:t xml:space="preserve"> Clothier Company</w:t>
      </w:r>
    </w:p>
    <w:p w:rsidR="00014B69" w:rsidRDefault="00014B69" w:rsidP="000A0425">
      <w:pPr>
        <w:pStyle w:val="Heading3"/>
        <w:spacing w:before="0" w:after="0"/>
        <w:ind w:left="0"/>
      </w:pPr>
    </w:p>
    <w:p w:rsidR="00055062" w:rsidRPr="00055062" w:rsidRDefault="009A73E9" w:rsidP="000A0425">
      <w:pPr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751205</wp:posOffset>
                </wp:positionH>
                <wp:positionV relativeFrom="paragraph">
                  <wp:posOffset>120015</wp:posOffset>
                </wp:positionV>
                <wp:extent cx="2484755" cy="379730"/>
                <wp:effectExtent l="8255" t="5715" r="12065" b="508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755" cy="37973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B32" w:rsidRPr="006D459E" w:rsidRDefault="00591B32" w:rsidP="006D459E">
                            <w:pPr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6D459E"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>Style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59.15pt;margin-top:9.45pt;width:195.65pt;height:2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" fillcolor="blue">
                <v:textbox>
                  <w:txbxContent>
                    <w:p w:rsidR="00591B32" w:rsidRPr="006D459E" w:rsidRDefault="00591B32" w:rsidP="006D459E">
                      <w:pPr>
                        <w:ind w:left="0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6D459E">
                        <w:rPr>
                          <w:rFonts w:ascii="Arial" w:hAnsi="Arial" w:cs="Arial"/>
                          <w:b/>
                          <w:color w:val="FFFFFF"/>
                          <w:sz w:val="40"/>
                          <w:szCs w:val="40"/>
                        </w:rPr>
                        <w:t>Style</w:t>
                      </w:r>
                    </w:p>
                  </w:txbxContent>
                </v:textbox>
              </v:shape>
            </w:pict>
          </mc:Fallback>
        </mc:AlternateContent>
      </w:r>
    </w:p>
    <w:p w:rsidR="00014B69" w:rsidRDefault="00014B69" w:rsidP="000A0425">
      <w:pPr>
        <w:pStyle w:val="Heading3"/>
        <w:spacing w:before="0" w:after="0"/>
        <w:ind w:left="0"/>
      </w:pPr>
    </w:p>
    <w:p w:rsidR="00014B69" w:rsidRPr="00992BE1" w:rsidRDefault="00EF18FC" w:rsidP="000A0425">
      <w:pPr>
        <w:ind w:left="0"/>
        <w:rPr>
          <w:rFonts w:ascii="Arial" w:hAnsi="Arial" w:cs="Arial"/>
          <w:b/>
          <w:color w:val="FFFFFF"/>
          <w:sz w:val="36"/>
          <w:szCs w:val="36"/>
        </w:rPr>
      </w:pPr>
      <w:r>
        <w:rPr>
          <w:rFonts w:ascii="Arial" w:hAnsi="Arial" w:cs="Arial"/>
          <w:b/>
          <w:color w:val="FFFFFF"/>
          <w:sz w:val="36"/>
          <w:szCs w:val="36"/>
        </w:rPr>
        <w:t xml:space="preserve">       </w:t>
      </w:r>
    </w:p>
    <w:p w:rsidR="00992BE1" w:rsidRDefault="009A73E9" w:rsidP="000A0425">
      <w:pPr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2080260</wp:posOffset>
                </wp:positionH>
                <wp:positionV relativeFrom="paragraph">
                  <wp:posOffset>76200</wp:posOffset>
                </wp:positionV>
                <wp:extent cx="2484755" cy="379730"/>
                <wp:effectExtent l="13335" t="9525" r="6985" b="10795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755" cy="37973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B32" w:rsidRPr="006D459E" w:rsidRDefault="00591B32" w:rsidP="006D459E">
                            <w:pPr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6D459E"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>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163.8pt;margin-top:6pt;width:195.65pt;height:2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" fillcolor="blue">
                <v:textbox>
                  <w:txbxContent>
                    <w:p w:rsidR="00591B32" w:rsidRPr="006D459E" w:rsidRDefault="00591B32" w:rsidP="006D459E">
                      <w:pPr>
                        <w:ind w:left="0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6D459E">
                        <w:rPr>
                          <w:rFonts w:ascii="Arial" w:hAnsi="Arial" w:cs="Arial"/>
                          <w:b/>
                          <w:color w:val="FFFFFF"/>
                          <w:sz w:val="40"/>
                          <w:szCs w:val="40"/>
                        </w:rPr>
                        <w:t>Service</w:t>
                      </w:r>
                    </w:p>
                  </w:txbxContent>
                </v:textbox>
              </v:shape>
            </w:pict>
          </mc:Fallback>
        </mc:AlternateContent>
      </w:r>
    </w:p>
    <w:p w:rsidR="00992BE1" w:rsidRDefault="00992BE1" w:rsidP="000A0425">
      <w:pPr>
        <w:ind w:left="0"/>
      </w:pPr>
    </w:p>
    <w:p w:rsidR="00014B69" w:rsidRDefault="00014B69" w:rsidP="000A0425">
      <w:pPr>
        <w:ind w:left="0"/>
      </w:pPr>
    </w:p>
    <w:p w:rsidR="00992BE1" w:rsidRPr="00992BE1" w:rsidRDefault="009A73E9" w:rsidP="000A0425">
      <w:pPr>
        <w:ind w:left="0"/>
        <w:rPr>
          <w:rFonts w:ascii="Arial" w:hAnsi="Arial" w:cs="Arial"/>
          <w:b/>
          <w:color w:val="FFFFFF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3235960</wp:posOffset>
                </wp:positionH>
                <wp:positionV relativeFrom="paragraph">
                  <wp:posOffset>120015</wp:posOffset>
                </wp:positionV>
                <wp:extent cx="2484755" cy="379730"/>
                <wp:effectExtent l="6985" t="5715" r="13335" b="508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755" cy="37973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B32" w:rsidRPr="006D459E" w:rsidRDefault="00591B32" w:rsidP="006D459E">
                            <w:pPr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6D459E"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>Success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254.8pt;margin-top:9.45pt;width:195.65pt;height:2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" fillcolor="blue">
                <v:textbox>
                  <w:txbxContent>
                    <w:p w:rsidR="00591B32" w:rsidRPr="006D459E" w:rsidRDefault="00591B32" w:rsidP="006D459E">
                      <w:pPr>
                        <w:ind w:left="0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6D459E">
                        <w:rPr>
                          <w:rFonts w:ascii="Arial" w:hAnsi="Arial" w:cs="Arial"/>
                          <w:b/>
                          <w:color w:val="FFFFFF"/>
                          <w:sz w:val="40"/>
                          <w:szCs w:val="40"/>
                        </w:rPr>
                        <w:t>Success</w:t>
                      </w:r>
                    </w:p>
                  </w:txbxContent>
                </v:textbox>
              </v:shape>
            </w:pict>
          </mc:Fallback>
        </mc:AlternateContent>
      </w:r>
      <w:r w:rsidR="00992BE1">
        <w:tab/>
      </w:r>
      <w:r w:rsidR="00992BE1">
        <w:tab/>
      </w:r>
      <w:r w:rsidR="00992BE1">
        <w:tab/>
      </w:r>
      <w:r w:rsidR="00992BE1">
        <w:tab/>
      </w:r>
      <w:r w:rsidR="00992BE1">
        <w:tab/>
      </w:r>
      <w:r w:rsidR="00992BE1">
        <w:tab/>
      </w:r>
      <w:r w:rsidR="00992BE1">
        <w:tab/>
      </w:r>
      <w:r w:rsidR="00EF18FC">
        <w:t xml:space="preserve">                     </w:t>
      </w:r>
    </w:p>
    <w:p w:rsidR="00992BE1" w:rsidRDefault="00992BE1" w:rsidP="000A0425">
      <w:pPr>
        <w:ind w:left="0"/>
      </w:pPr>
    </w:p>
    <w:p w:rsidR="00992BE1" w:rsidRDefault="00992BE1" w:rsidP="000A0425">
      <w:pPr>
        <w:ind w:left="0"/>
      </w:pPr>
    </w:p>
    <w:p w:rsidR="00992BE1" w:rsidRDefault="00992BE1" w:rsidP="000A0425">
      <w:pPr>
        <w:ind w:left="0"/>
      </w:pPr>
    </w:p>
    <w:p w:rsidR="00992BE1" w:rsidRDefault="00992BE1" w:rsidP="000A0425">
      <w:pPr>
        <w:ind w:left="0"/>
      </w:pPr>
    </w:p>
    <w:p w:rsidR="00992BE1" w:rsidRDefault="00992BE1" w:rsidP="000A0425">
      <w:pPr>
        <w:ind w:left="0"/>
      </w:pPr>
    </w:p>
    <w:p w:rsidR="00992BE1" w:rsidRDefault="00992BE1" w:rsidP="000A0425">
      <w:pPr>
        <w:ind w:left="0"/>
      </w:pPr>
    </w:p>
    <w:p w:rsidR="00992BE1" w:rsidRDefault="00992BE1" w:rsidP="000A0425">
      <w:pPr>
        <w:ind w:left="0"/>
      </w:pPr>
    </w:p>
    <w:p w:rsidR="00992BE1" w:rsidRDefault="00992BE1" w:rsidP="000A0425">
      <w:pPr>
        <w:ind w:left="0"/>
      </w:pPr>
    </w:p>
    <w:p w:rsidR="00992BE1" w:rsidRDefault="00992BE1" w:rsidP="000A0425">
      <w:pPr>
        <w:ind w:left="0"/>
      </w:pPr>
    </w:p>
    <w:p w:rsidR="00992BE1" w:rsidRPr="00014B69" w:rsidRDefault="00992BE1" w:rsidP="000A0425">
      <w:pPr>
        <w:ind w:left="0"/>
      </w:pPr>
    </w:p>
    <w:p w:rsidR="006D459E" w:rsidRPr="006D459E" w:rsidRDefault="00B03E09" w:rsidP="000A0425">
      <w:pPr>
        <w:pStyle w:val="Heading3"/>
        <w:spacing w:before="0" w:after="0"/>
        <w:ind w:left="0"/>
        <w:jc w:val="center"/>
        <w:rPr>
          <w:b w:val="0"/>
          <w:i/>
          <w:sz w:val="48"/>
          <w:szCs w:val="48"/>
        </w:rPr>
      </w:pPr>
      <w:r w:rsidRPr="006D459E">
        <w:rPr>
          <w:b w:val="0"/>
          <w:i/>
          <w:sz w:val="48"/>
          <w:szCs w:val="48"/>
        </w:rPr>
        <w:t>Annual Report</w:t>
      </w:r>
    </w:p>
    <w:p w:rsidR="00B03E09" w:rsidRPr="006D459E" w:rsidRDefault="00F0508D" w:rsidP="000A0425">
      <w:pPr>
        <w:ind w:left="0"/>
        <w:jc w:val="center"/>
        <w:rPr>
          <w:rFonts w:ascii="Arial" w:hAnsi="Arial" w:cs="Arial"/>
          <w:i/>
          <w:sz w:val="48"/>
          <w:szCs w:val="48"/>
        </w:rPr>
      </w:pPr>
      <w:r>
        <w:rPr>
          <w:rFonts w:ascii="Arial" w:hAnsi="Arial" w:cs="Arial"/>
          <w:i/>
          <w:sz w:val="48"/>
          <w:szCs w:val="48"/>
        </w:rPr>
        <w:t>Year 10</w:t>
      </w:r>
    </w:p>
    <w:p w:rsidR="00B03E09" w:rsidRDefault="00B03E09" w:rsidP="000A0425">
      <w:pPr>
        <w:ind w:left="0"/>
      </w:pPr>
    </w:p>
    <w:p w:rsidR="00B03E09" w:rsidRDefault="00B03E09" w:rsidP="000A0425">
      <w:pPr>
        <w:ind w:left="0"/>
      </w:pPr>
    </w:p>
    <w:p w:rsidR="00B03E09" w:rsidRDefault="00B03E09" w:rsidP="000A0425">
      <w:pPr>
        <w:ind w:left="0"/>
      </w:pPr>
    </w:p>
    <w:p w:rsidR="00B03E09" w:rsidRPr="00AC7B7B" w:rsidRDefault="00816E52" w:rsidP="00D725CA">
      <w:pPr>
        <w:ind w:left="0"/>
        <w:jc w:val="center"/>
        <w:rPr>
          <w:b/>
        </w:rPr>
      </w:pPr>
      <w:r w:rsidRPr="00AC7B7B">
        <w:rPr>
          <w:b/>
        </w:rPr>
        <w:t>Annual Report</w:t>
      </w:r>
    </w:p>
    <w:p w:rsidR="00AC7B7B" w:rsidRDefault="00AC7B7B" w:rsidP="00D725CA">
      <w:pPr>
        <w:ind w:left="0"/>
      </w:pPr>
    </w:p>
    <w:p w:rsidR="00B95DC9" w:rsidRDefault="00166880" w:rsidP="00D725CA">
      <w:pPr>
        <w:ind w:left="0" w:firstLine="720"/>
        <w:rPr>
          <w:szCs w:val="24"/>
        </w:rPr>
      </w:pPr>
      <w:r>
        <w:rPr>
          <w:szCs w:val="24"/>
        </w:rPr>
        <w:t>Whitman</w:t>
      </w:r>
      <w:r w:rsidR="00816E52" w:rsidRPr="00816E52">
        <w:rPr>
          <w:szCs w:val="24"/>
        </w:rPr>
        <w:t xml:space="preserve"> Clothier Company has $</w:t>
      </w:r>
      <w:r w:rsidR="002A39ED">
        <w:rPr>
          <w:szCs w:val="24"/>
        </w:rPr>
        <w:t>7</w:t>
      </w:r>
      <w:r w:rsidR="0075251E">
        <w:rPr>
          <w:szCs w:val="24"/>
        </w:rPr>
        <w:t>50</w:t>
      </w:r>
      <w:r w:rsidR="00816E52" w:rsidRPr="00816E52">
        <w:rPr>
          <w:szCs w:val="24"/>
        </w:rPr>
        <w:t>.5 million in sales</w:t>
      </w:r>
      <w:r w:rsidR="00CF5932">
        <w:rPr>
          <w:szCs w:val="24"/>
        </w:rPr>
        <w:t xml:space="preserve"> (see)</w:t>
      </w:r>
      <w:r w:rsidR="00816E52" w:rsidRPr="00816E52">
        <w:rPr>
          <w:szCs w:val="24"/>
        </w:rPr>
        <w:t xml:space="preserve">. </w:t>
      </w:r>
      <w:r w:rsidR="00F0508D">
        <w:rPr>
          <w:szCs w:val="24"/>
        </w:rPr>
        <w:t>Last year</w:t>
      </w:r>
      <w:r w:rsidR="00B95DC9">
        <w:rPr>
          <w:szCs w:val="24"/>
        </w:rPr>
        <w:t>,</w:t>
      </w:r>
      <w:r w:rsidR="000A00C0">
        <w:rPr>
          <w:szCs w:val="24"/>
        </w:rPr>
        <w:t xml:space="preserve"> </w:t>
      </w:r>
      <w:r w:rsidR="00B95DC9">
        <w:rPr>
          <w:szCs w:val="24"/>
        </w:rPr>
        <w:t>management</w:t>
      </w:r>
      <w:r w:rsidR="000A00C0">
        <w:rPr>
          <w:szCs w:val="24"/>
        </w:rPr>
        <w:t xml:space="preserve"> reorganiz</w:t>
      </w:r>
      <w:r w:rsidR="00B95DC9">
        <w:rPr>
          <w:szCs w:val="24"/>
        </w:rPr>
        <w:t>ed to</w:t>
      </w:r>
      <w:r w:rsidR="000A00C0">
        <w:rPr>
          <w:szCs w:val="24"/>
        </w:rPr>
        <w:t xml:space="preserve"> reduce the number of retail stores for each regional manager by an average of 30%. This</w:t>
      </w:r>
      <w:r w:rsidR="00BB73C7">
        <w:rPr>
          <w:szCs w:val="24"/>
        </w:rPr>
        <w:t xml:space="preserve"> allowed the managers to take a hands-on approach with the stores, which has resulted in an increase in sales to customers for the year.</w:t>
      </w:r>
    </w:p>
    <w:p w:rsidR="00925A43" w:rsidRDefault="00AC7B7B" w:rsidP="00D725CA">
      <w:pPr>
        <w:ind w:left="0" w:firstLine="720"/>
        <w:rPr>
          <w:szCs w:val="24"/>
        </w:rPr>
      </w:pPr>
      <w:r>
        <w:rPr>
          <w:szCs w:val="24"/>
        </w:rPr>
        <w:t>This year,</w:t>
      </w:r>
      <w:r w:rsidR="00B2347F">
        <w:rPr>
          <w:szCs w:val="24"/>
        </w:rPr>
        <w:t xml:space="preserve"> in its tenth year of business,</w:t>
      </w:r>
      <w:r>
        <w:rPr>
          <w:szCs w:val="24"/>
        </w:rPr>
        <w:t xml:space="preserve"> </w:t>
      </w:r>
      <w:r w:rsidR="00166880">
        <w:rPr>
          <w:szCs w:val="24"/>
        </w:rPr>
        <w:t>Whitman</w:t>
      </w:r>
      <w:r w:rsidR="00B95DC9">
        <w:rPr>
          <w:szCs w:val="24"/>
        </w:rPr>
        <w:t xml:space="preserve"> </w:t>
      </w:r>
      <w:r>
        <w:rPr>
          <w:szCs w:val="24"/>
        </w:rPr>
        <w:t>succeeded in becoming</w:t>
      </w:r>
      <w:r w:rsidR="00B95DC9">
        <w:rPr>
          <w:szCs w:val="24"/>
        </w:rPr>
        <w:t xml:space="preserve"> the</w:t>
      </w:r>
      <w:r w:rsidR="00B95DC9" w:rsidRPr="00816E52">
        <w:rPr>
          <w:szCs w:val="24"/>
        </w:rPr>
        <w:t xml:space="preserve"> fastest growing company in the country’s retail clothing market</w:t>
      </w:r>
      <w:r w:rsidR="00B95DC9">
        <w:rPr>
          <w:szCs w:val="24"/>
        </w:rPr>
        <w:t xml:space="preserve">. The economic </w:t>
      </w:r>
      <w:r w:rsidR="003C080B">
        <w:rPr>
          <w:szCs w:val="24"/>
        </w:rPr>
        <w:t>trends of the last five years have</w:t>
      </w:r>
      <w:r w:rsidR="00B95DC9">
        <w:rPr>
          <w:szCs w:val="24"/>
        </w:rPr>
        <w:t xml:space="preserve"> left the </w:t>
      </w:r>
      <w:r w:rsidR="00D9315B">
        <w:rPr>
          <w:szCs w:val="24"/>
        </w:rPr>
        <w:t>majority</w:t>
      </w:r>
      <w:r w:rsidR="00B95DC9">
        <w:rPr>
          <w:szCs w:val="24"/>
        </w:rPr>
        <w:t xml:space="preserve"> of competitors </w:t>
      </w:r>
      <w:r>
        <w:rPr>
          <w:szCs w:val="24"/>
        </w:rPr>
        <w:t>facing cutbacks.</w:t>
      </w:r>
      <w:r w:rsidR="00E54942">
        <w:rPr>
          <w:szCs w:val="24"/>
        </w:rPr>
        <w:t xml:space="preserve"> With determination, </w:t>
      </w:r>
      <w:r w:rsidR="00166880">
        <w:rPr>
          <w:szCs w:val="24"/>
        </w:rPr>
        <w:t>Whitman</w:t>
      </w:r>
      <w:r w:rsidR="00E54942">
        <w:rPr>
          <w:szCs w:val="24"/>
        </w:rPr>
        <w:t xml:space="preserve"> increased marketing efforts in key regions and added low-cost locations to several of these regions. The industry average growth in profit for </w:t>
      </w:r>
      <w:r w:rsidR="00F0508D">
        <w:rPr>
          <w:szCs w:val="24"/>
        </w:rPr>
        <w:t>this year</w:t>
      </w:r>
      <w:r w:rsidR="00E54942">
        <w:rPr>
          <w:szCs w:val="24"/>
        </w:rPr>
        <w:t xml:space="preserve"> is 6%</w:t>
      </w:r>
      <w:r w:rsidR="003C080B">
        <w:rPr>
          <w:szCs w:val="24"/>
        </w:rPr>
        <w:t xml:space="preserve">, and </w:t>
      </w:r>
      <w:r w:rsidR="00166880">
        <w:rPr>
          <w:szCs w:val="24"/>
        </w:rPr>
        <w:t>Whitman</w:t>
      </w:r>
      <w:r w:rsidR="003C080B">
        <w:rPr>
          <w:szCs w:val="24"/>
        </w:rPr>
        <w:t xml:space="preserve"> presented a growth of 10%, due mainly to these initiatives</w:t>
      </w:r>
      <w:r w:rsidR="00CF5932">
        <w:rPr>
          <w:szCs w:val="24"/>
        </w:rPr>
        <w:t xml:space="preserve"> (see)</w:t>
      </w:r>
      <w:r w:rsidR="00864DAD">
        <w:rPr>
          <w:szCs w:val="24"/>
        </w:rPr>
        <w:t>.</w:t>
      </w:r>
    </w:p>
    <w:p w:rsidR="000933DE" w:rsidRDefault="00D92334" w:rsidP="00D725CA">
      <w:pPr>
        <w:ind w:left="0" w:firstLine="720"/>
        <w:rPr>
          <w:szCs w:val="24"/>
          <w:u w:val="single"/>
        </w:rPr>
      </w:pPr>
      <w:r>
        <w:rPr>
          <w:szCs w:val="24"/>
        </w:rPr>
        <w:lastRenderedPageBreak/>
        <w:t xml:space="preserve">With </w:t>
      </w:r>
      <w:r w:rsidR="009E19AA">
        <w:rPr>
          <w:szCs w:val="24"/>
        </w:rPr>
        <w:t xml:space="preserve">over </w:t>
      </w:r>
      <w:r>
        <w:rPr>
          <w:szCs w:val="24"/>
        </w:rPr>
        <w:t xml:space="preserve">125 retail locations and </w:t>
      </w:r>
      <w:r w:rsidR="009E19AA">
        <w:rPr>
          <w:szCs w:val="24"/>
        </w:rPr>
        <w:t>2,5</w:t>
      </w:r>
      <w:r w:rsidR="00816E52" w:rsidRPr="00816E52">
        <w:rPr>
          <w:szCs w:val="24"/>
        </w:rPr>
        <w:t>00 employees in the United States</w:t>
      </w:r>
      <w:r>
        <w:rPr>
          <w:szCs w:val="24"/>
        </w:rPr>
        <w:t xml:space="preserve">, </w:t>
      </w:r>
      <w:r w:rsidR="00166880">
        <w:rPr>
          <w:szCs w:val="24"/>
        </w:rPr>
        <w:t>Whitman</w:t>
      </w:r>
      <w:r w:rsidR="00816E52" w:rsidRPr="00816E52">
        <w:rPr>
          <w:szCs w:val="24"/>
        </w:rPr>
        <w:t xml:space="preserve"> is </w:t>
      </w:r>
      <w:r>
        <w:rPr>
          <w:szCs w:val="24"/>
        </w:rPr>
        <w:t xml:space="preserve">now </w:t>
      </w:r>
      <w:r w:rsidR="00816E52" w:rsidRPr="00816E52">
        <w:rPr>
          <w:szCs w:val="24"/>
        </w:rPr>
        <w:t>in the proces</w:t>
      </w:r>
      <w:r>
        <w:rPr>
          <w:szCs w:val="24"/>
        </w:rPr>
        <w:t>s of expanding its international reach</w:t>
      </w:r>
      <w:r w:rsidR="00816E52" w:rsidRPr="00816E52">
        <w:rPr>
          <w:szCs w:val="24"/>
        </w:rPr>
        <w:t>.</w:t>
      </w:r>
      <w:r>
        <w:rPr>
          <w:szCs w:val="24"/>
        </w:rPr>
        <w:t xml:space="preserve"> Development research is currently underway for retail locations in Canada and popular tourist areas in Mexico.</w:t>
      </w:r>
      <w:r w:rsidR="00AC7B7B">
        <w:rPr>
          <w:szCs w:val="24"/>
        </w:rPr>
        <w:t xml:space="preserve"> The goal of the</w:t>
      </w:r>
      <w:r>
        <w:rPr>
          <w:szCs w:val="24"/>
        </w:rPr>
        <w:t xml:space="preserve"> p</w:t>
      </w:r>
      <w:r w:rsidR="00C431E2">
        <w:rPr>
          <w:szCs w:val="24"/>
        </w:rPr>
        <w:t>roject is to establish 10 intern</w:t>
      </w:r>
      <w:r w:rsidR="00F0508D">
        <w:rPr>
          <w:szCs w:val="24"/>
        </w:rPr>
        <w:t>ational locations within five years</w:t>
      </w:r>
      <w:r>
        <w:rPr>
          <w:szCs w:val="24"/>
        </w:rPr>
        <w:t>.</w:t>
      </w:r>
    </w:p>
    <w:p w:rsidR="00EA63F4" w:rsidRPr="00EA63F4" w:rsidRDefault="000933DE" w:rsidP="000A0425">
      <w:pPr>
        <w:ind w:left="0"/>
        <w:rPr>
          <w:szCs w:val="24"/>
        </w:rPr>
      </w:pPr>
      <w:r>
        <w:rPr>
          <w:szCs w:val="24"/>
          <w:u w:val="single"/>
        </w:rPr>
        <w:br w:type="page"/>
      </w:r>
    </w:p>
    <w:p w:rsidR="002A0CEA" w:rsidRDefault="000933DE" w:rsidP="003C4D76">
      <w:pPr>
        <w:ind w:left="0"/>
        <w:jc w:val="center"/>
        <w:rPr>
          <w:b/>
          <w:szCs w:val="24"/>
        </w:rPr>
      </w:pPr>
      <w:r>
        <w:rPr>
          <w:b/>
          <w:szCs w:val="24"/>
        </w:rPr>
        <w:lastRenderedPageBreak/>
        <w:t>Three Years in Brief</w:t>
      </w:r>
      <w:r w:rsidR="00D53328">
        <w:rPr>
          <w:rStyle w:val="FootnoteReference"/>
          <w:b/>
          <w:szCs w:val="24"/>
        </w:rPr>
        <w:footnoteReference w:id="1"/>
      </w:r>
    </w:p>
    <w:p w:rsidR="00E110E1" w:rsidRPr="000933DE" w:rsidRDefault="00E110E1" w:rsidP="000A0425">
      <w:pPr>
        <w:ind w:left="0"/>
        <w:rPr>
          <w:szCs w:val="24"/>
        </w:rPr>
      </w:pPr>
    </w:p>
    <w:p w:rsidR="00D725CA" w:rsidRPr="004B4BDE" w:rsidRDefault="00D725CA" w:rsidP="000A0425">
      <w:pPr>
        <w:tabs>
          <w:tab w:val="left" w:pos="2821"/>
          <w:tab w:val="left" w:pos="4368"/>
          <w:tab w:val="left" w:pos="5824"/>
        </w:tabs>
        <w:ind w:left="0"/>
        <w:rPr>
          <w:b/>
          <w:sz w:val="22"/>
          <w:szCs w:val="22"/>
        </w:rPr>
      </w:pPr>
      <w:r w:rsidRPr="004B4BDE">
        <w:rPr>
          <w:i/>
          <w:sz w:val="22"/>
          <w:szCs w:val="22"/>
        </w:rPr>
        <w:t>For the year of</w:t>
      </w:r>
      <w:r w:rsidRPr="004B4BDE">
        <w:rPr>
          <w:sz w:val="22"/>
          <w:szCs w:val="22"/>
        </w:rPr>
        <w:tab/>
      </w:r>
      <w:r>
        <w:rPr>
          <w:b/>
          <w:sz w:val="22"/>
          <w:szCs w:val="22"/>
        </w:rPr>
        <w:t>Year 10</w:t>
      </w:r>
      <w:r w:rsidRPr="004B4BDE">
        <w:rPr>
          <w:b/>
          <w:sz w:val="22"/>
          <w:szCs w:val="22"/>
        </w:rPr>
        <w:tab/>
      </w:r>
      <w:r>
        <w:rPr>
          <w:b/>
          <w:sz w:val="22"/>
          <w:szCs w:val="22"/>
        </w:rPr>
        <w:t>Year 9</w:t>
      </w:r>
      <w:r w:rsidRPr="004B4BDE">
        <w:rPr>
          <w:b/>
          <w:sz w:val="22"/>
          <w:szCs w:val="22"/>
        </w:rPr>
        <w:tab/>
      </w:r>
      <w:r>
        <w:rPr>
          <w:b/>
          <w:sz w:val="22"/>
          <w:szCs w:val="22"/>
        </w:rPr>
        <w:t>Year 8</w:t>
      </w:r>
    </w:p>
    <w:p w:rsidR="00D725CA" w:rsidRPr="004B4BDE" w:rsidRDefault="00D725CA" w:rsidP="000A0425">
      <w:pPr>
        <w:tabs>
          <w:tab w:val="left" w:pos="2821"/>
          <w:tab w:val="left" w:pos="4368"/>
          <w:tab w:val="left" w:pos="5824"/>
        </w:tabs>
        <w:ind w:left="0"/>
        <w:rPr>
          <w:sz w:val="22"/>
          <w:szCs w:val="22"/>
        </w:rPr>
      </w:pPr>
      <w:r w:rsidRPr="004B4BDE">
        <w:rPr>
          <w:b/>
          <w:sz w:val="22"/>
          <w:szCs w:val="22"/>
        </w:rPr>
        <w:t xml:space="preserve">Sales to </w:t>
      </w:r>
      <w:r>
        <w:rPr>
          <w:b/>
          <w:sz w:val="22"/>
          <w:szCs w:val="22"/>
        </w:rPr>
        <w:t>C</w:t>
      </w:r>
      <w:r w:rsidRPr="004B4BDE">
        <w:rPr>
          <w:b/>
          <w:sz w:val="22"/>
          <w:szCs w:val="22"/>
        </w:rPr>
        <w:t>ustomers</w:t>
      </w:r>
      <w:r w:rsidRPr="004B4BDE">
        <w:rPr>
          <w:b/>
          <w:sz w:val="22"/>
          <w:szCs w:val="22"/>
        </w:rPr>
        <w:tab/>
      </w:r>
      <w:r>
        <w:rPr>
          <w:sz w:val="22"/>
          <w:szCs w:val="22"/>
        </w:rPr>
        <w:t>$</w:t>
      </w:r>
      <w:r w:rsidRPr="004B4BDE">
        <w:rPr>
          <w:sz w:val="22"/>
          <w:szCs w:val="22"/>
        </w:rPr>
        <w:t>750,488,000</w:t>
      </w:r>
      <w:r w:rsidRPr="004B4BDE">
        <w:rPr>
          <w:sz w:val="22"/>
          <w:szCs w:val="22"/>
        </w:rPr>
        <w:tab/>
        <w:t>$700,557,000</w:t>
      </w:r>
      <w:r w:rsidRPr="004B4BDE">
        <w:rPr>
          <w:sz w:val="22"/>
          <w:szCs w:val="22"/>
        </w:rPr>
        <w:tab/>
        <w:t>$660,870,000</w:t>
      </w:r>
    </w:p>
    <w:p w:rsidR="00D725CA" w:rsidRPr="004B4BDE" w:rsidRDefault="00D725CA" w:rsidP="000A0425">
      <w:pPr>
        <w:tabs>
          <w:tab w:val="left" w:pos="2821"/>
          <w:tab w:val="left" w:pos="4368"/>
          <w:tab w:val="left" w:pos="5824"/>
        </w:tabs>
        <w:ind w:left="0"/>
        <w:rPr>
          <w:sz w:val="22"/>
          <w:szCs w:val="22"/>
        </w:rPr>
      </w:pPr>
      <w:r w:rsidRPr="004B4BDE">
        <w:rPr>
          <w:b/>
          <w:sz w:val="22"/>
          <w:szCs w:val="22"/>
        </w:rPr>
        <w:t xml:space="preserve">Net </w:t>
      </w:r>
      <w:r>
        <w:rPr>
          <w:b/>
          <w:sz w:val="22"/>
          <w:szCs w:val="22"/>
        </w:rPr>
        <w:t>E</w:t>
      </w:r>
      <w:r w:rsidRPr="004B4BDE">
        <w:rPr>
          <w:b/>
          <w:sz w:val="22"/>
          <w:szCs w:val="22"/>
        </w:rPr>
        <w:t>arnings</w:t>
      </w:r>
      <w:r w:rsidRPr="004B4BDE">
        <w:rPr>
          <w:b/>
          <w:sz w:val="22"/>
          <w:szCs w:val="22"/>
        </w:rPr>
        <w:tab/>
      </w:r>
      <w:r w:rsidRPr="004B4BDE">
        <w:rPr>
          <w:sz w:val="22"/>
          <w:szCs w:val="22"/>
        </w:rPr>
        <w:t>$150,648</w:t>
      </w:r>
      <w:r>
        <w:rPr>
          <w:sz w:val="22"/>
          <w:szCs w:val="22"/>
        </w:rPr>
        <w:t>,000</w:t>
      </w:r>
      <w:r w:rsidRPr="004B4BDE">
        <w:rPr>
          <w:sz w:val="22"/>
          <w:szCs w:val="22"/>
        </w:rPr>
        <w:tab/>
        <w:t>$100,840,000</w:t>
      </w:r>
      <w:r w:rsidRPr="004B4BDE">
        <w:rPr>
          <w:sz w:val="22"/>
          <w:szCs w:val="22"/>
        </w:rPr>
        <w:tab/>
        <w:t>$245,396,000</w:t>
      </w:r>
    </w:p>
    <w:p w:rsidR="00D725CA" w:rsidRPr="004B4BDE" w:rsidRDefault="00D725CA" w:rsidP="000A0425">
      <w:pPr>
        <w:tabs>
          <w:tab w:val="left" w:pos="2821"/>
          <w:tab w:val="left" w:pos="4368"/>
          <w:tab w:val="left" w:pos="5824"/>
        </w:tabs>
        <w:ind w:left="0"/>
        <w:rPr>
          <w:sz w:val="22"/>
          <w:szCs w:val="22"/>
        </w:rPr>
      </w:pPr>
      <w:r w:rsidRPr="004B4BDE">
        <w:rPr>
          <w:b/>
          <w:sz w:val="22"/>
          <w:szCs w:val="22"/>
        </w:rPr>
        <w:t xml:space="preserve">Cash </w:t>
      </w:r>
      <w:r>
        <w:rPr>
          <w:b/>
          <w:sz w:val="22"/>
          <w:szCs w:val="22"/>
        </w:rPr>
        <w:t>D</w:t>
      </w:r>
      <w:r w:rsidRPr="004B4BDE">
        <w:rPr>
          <w:b/>
          <w:sz w:val="22"/>
          <w:szCs w:val="22"/>
        </w:rPr>
        <w:t xml:space="preserve">ividends </w:t>
      </w:r>
      <w:r>
        <w:rPr>
          <w:b/>
          <w:sz w:val="22"/>
          <w:szCs w:val="22"/>
        </w:rPr>
        <w:t>P</w:t>
      </w:r>
      <w:r w:rsidRPr="004B4BDE">
        <w:rPr>
          <w:b/>
          <w:sz w:val="22"/>
          <w:szCs w:val="22"/>
        </w:rPr>
        <w:t>aid</w:t>
      </w:r>
      <w:r w:rsidRPr="004B4BDE">
        <w:rPr>
          <w:b/>
          <w:sz w:val="22"/>
          <w:szCs w:val="22"/>
        </w:rPr>
        <w:tab/>
      </w:r>
      <w:r w:rsidRPr="004B4BDE">
        <w:rPr>
          <w:sz w:val="22"/>
          <w:szCs w:val="22"/>
        </w:rPr>
        <w:t>$725,000</w:t>
      </w:r>
      <w:r w:rsidRPr="004B4BDE">
        <w:rPr>
          <w:sz w:val="22"/>
          <w:szCs w:val="22"/>
        </w:rPr>
        <w:tab/>
        <w:t>$703,000</w:t>
      </w:r>
      <w:r w:rsidRPr="004B4BDE">
        <w:rPr>
          <w:sz w:val="22"/>
          <w:szCs w:val="22"/>
        </w:rPr>
        <w:tab/>
        <w:t>$685,000</w:t>
      </w:r>
    </w:p>
    <w:p w:rsidR="00D725CA" w:rsidRPr="004B4BDE" w:rsidRDefault="00D725CA" w:rsidP="000A0425">
      <w:pPr>
        <w:tabs>
          <w:tab w:val="left" w:pos="2821"/>
          <w:tab w:val="left" w:pos="4368"/>
          <w:tab w:val="left" w:pos="5824"/>
        </w:tabs>
        <w:ind w:left="0"/>
        <w:rPr>
          <w:sz w:val="22"/>
          <w:szCs w:val="22"/>
        </w:rPr>
      </w:pPr>
      <w:r w:rsidRPr="004B4BDE">
        <w:rPr>
          <w:b/>
          <w:sz w:val="22"/>
          <w:szCs w:val="22"/>
        </w:rPr>
        <w:t xml:space="preserve">Shareholders’ </w:t>
      </w:r>
      <w:r>
        <w:rPr>
          <w:b/>
          <w:sz w:val="22"/>
          <w:szCs w:val="22"/>
        </w:rPr>
        <w:t>E</w:t>
      </w:r>
      <w:r w:rsidRPr="004B4BDE">
        <w:rPr>
          <w:b/>
          <w:sz w:val="22"/>
          <w:szCs w:val="22"/>
        </w:rPr>
        <w:t>quity</w:t>
      </w:r>
      <w:r w:rsidRPr="004B4BDE">
        <w:rPr>
          <w:b/>
          <w:sz w:val="22"/>
          <w:szCs w:val="22"/>
        </w:rPr>
        <w:tab/>
      </w:r>
      <w:r w:rsidRPr="004B4BDE">
        <w:rPr>
          <w:sz w:val="22"/>
          <w:szCs w:val="22"/>
        </w:rPr>
        <w:t>$500,324,000</w:t>
      </w:r>
      <w:r w:rsidRPr="004B4BDE">
        <w:rPr>
          <w:sz w:val="22"/>
          <w:szCs w:val="22"/>
        </w:rPr>
        <w:tab/>
        <w:t>$401,147,000</w:t>
      </w:r>
      <w:r w:rsidRPr="004B4BDE">
        <w:rPr>
          <w:sz w:val="22"/>
          <w:szCs w:val="22"/>
        </w:rPr>
        <w:tab/>
        <w:t>$310,233,000</w:t>
      </w:r>
    </w:p>
    <w:p w:rsidR="00D725CA" w:rsidRPr="004B4BDE" w:rsidRDefault="00D725CA" w:rsidP="000A0425">
      <w:pPr>
        <w:tabs>
          <w:tab w:val="left" w:pos="2821"/>
          <w:tab w:val="left" w:pos="4368"/>
          <w:tab w:val="left" w:pos="5824"/>
        </w:tabs>
        <w:ind w:left="0"/>
        <w:rPr>
          <w:sz w:val="22"/>
          <w:szCs w:val="22"/>
        </w:rPr>
      </w:pPr>
      <w:r w:rsidRPr="004B4BDE">
        <w:rPr>
          <w:b/>
          <w:sz w:val="22"/>
          <w:szCs w:val="22"/>
        </w:rPr>
        <w:t xml:space="preserve">Percent </w:t>
      </w:r>
      <w:r>
        <w:rPr>
          <w:b/>
          <w:sz w:val="22"/>
          <w:szCs w:val="22"/>
        </w:rPr>
        <w:t>R</w:t>
      </w:r>
      <w:r w:rsidRPr="004B4BDE">
        <w:rPr>
          <w:b/>
          <w:sz w:val="22"/>
          <w:szCs w:val="22"/>
        </w:rPr>
        <w:t xml:space="preserve">eturn on </w:t>
      </w:r>
      <w:r>
        <w:rPr>
          <w:b/>
          <w:sz w:val="22"/>
          <w:szCs w:val="22"/>
        </w:rPr>
        <w:t>E</w:t>
      </w:r>
      <w:r w:rsidRPr="004B4BDE">
        <w:rPr>
          <w:b/>
          <w:sz w:val="22"/>
          <w:szCs w:val="22"/>
        </w:rPr>
        <w:t>quity</w:t>
      </w:r>
      <w:r w:rsidRPr="004B4BDE">
        <w:rPr>
          <w:b/>
          <w:sz w:val="22"/>
          <w:szCs w:val="22"/>
        </w:rPr>
        <w:tab/>
      </w:r>
      <w:r w:rsidRPr="004B4BDE">
        <w:rPr>
          <w:sz w:val="22"/>
          <w:szCs w:val="22"/>
        </w:rPr>
        <w:t>27.2</w:t>
      </w:r>
      <w:r w:rsidRPr="004B4BDE">
        <w:rPr>
          <w:sz w:val="22"/>
          <w:szCs w:val="22"/>
        </w:rPr>
        <w:tab/>
        <w:t>25.6</w:t>
      </w:r>
      <w:r w:rsidRPr="004B4BDE">
        <w:rPr>
          <w:sz w:val="22"/>
          <w:szCs w:val="22"/>
        </w:rPr>
        <w:tab/>
        <w:t>26.4</w:t>
      </w:r>
    </w:p>
    <w:p w:rsidR="00D725CA" w:rsidRPr="004B4BDE" w:rsidRDefault="00D725CA" w:rsidP="000A0425">
      <w:pPr>
        <w:tabs>
          <w:tab w:val="left" w:pos="2821"/>
          <w:tab w:val="left" w:pos="4368"/>
          <w:tab w:val="left" w:pos="5824"/>
        </w:tabs>
        <w:ind w:left="0"/>
        <w:rPr>
          <w:sz w:val="22"/>
          <w:szCs w:val="22"/>
        </w:rPr>
      </w:pPr>
      <w:r>
        <w:rPr>
          <w:b/>
          <w:sz w:val="22"/>
          <w:szCs w:val="22"/>
        </w:rPr>
        <w:t>Market Price</w:t>
      </w:r>
      <w:r w:rsidRPr="004B4BDE">
        <w:rPr>
          <w:b/>
          <w:sz w:val="22"/>
          <w:szCs w:val="22"/>
        </w:rPr>
        <w:tab/>
      </w:r>
      <w:r>
        <w:rPr>
          <w:sz w:val="22"/>
          <w:szCs w:val="22"/>
        </w:rPr>
        <w:t>$26.68</w:t>
      </w:r>
      <w:r w:rsidRPr="004B4BDE">
        <w:rPr>
          <w:sz w:val="22"/>
          <w:szCs w:val="22"/>
        </w:rPr>
        <w:tab/>
      </w:r>
      <w:bookmarkStart w:id="0" w:name="_GoBack"/>
      <w:bookmarkEnd w:id="0"/>
      <w:r>
        <w:rPr>
          <w:sz w:val="22"/>
          <w:szCs w:val="22"/>
        </w:rPr>
        <w:t>$25.30</w:t>
      </w:r>
      <w:r w:rsidRPr="004B4BDE">
        <w:rPr>
          <w:sz w:val="22"/>
          <w:szCs w:val="22"/>
        </w:rPr>
        <w:tab/>
      </w:r>
      <w:r>
        <w:rPr>
          <w:sz w:val="22"/>
          <w:szCs w:val="22"/>
        </w:rPr>
        <w:t>$24.57</w:t>
      </w:r>
    </w:p>
    <w:p w:rsidR="00D725CA" w:rsidRPr="004B4BDE" w:rsidRDefault="00D725CA" w:rsidP="000A0425">
      <w:pPr>
        <w:tabs>
          <w:tab w:val="left" w:pos="2821"/>
          <w:tab w:val="left" w:pos="4368"/>
          <w:tab w:val="left" w:pos="5824"/>
        </w:tabs>
        <w:ind w:left="0"/>
        <w:rPr>
          <w:sz w:val="22"/>
          <w:szCs w:val="22"/>
        </w:rPr>
      </w:pPr>
      <w:r w:rsidRPr="004B4BDE">
        <w:rPr>
          <w:b/>
          <w:sz w:val="22"/>
          <w:szCs w:val="22"/>
        </w:rPr>
        <w:t>Per Share Net Earnings</w:t>
      </w:r>
      <w:r w:rsidRPr="004B4BDE">
        <w:rPr>
          <w:b/>
          <w:sz w:val="22"/>
          <w:szCs w:val="22"/>
        </w:rPr>
        <w:tab/>
      </w:r>
      <w:r w:rsidRPr="004B4BDE">
        <w:rPr>
          <w:sz w:val="22"/>
          <w:szCs w:val="22"/>
        </w:rPr>
        <w:tab/>
      </w:r>
      <w:r w:rsidRPr="004B4BDE">
        <w:rPr>
          <w:sz w:val="22"/>
          <w:szCs w:val="22"/>
        </w:rPr>
        <w:tab/>
      </w:r>
    </w:p>
    <w:p w:rsidR="00D725CA" w:rsidRPr="004B4BDE" w:rsidRDefault="00D725CA" w:rsidP="000A0425">
      <w:pPr>
        <w:tabs>
          <w:tab w:val="left" w:pos="2821"/>
          <w:tab w:val="left" w:pos="4368"/>
          <w:tab w:val="left" w:pos="5824"/>
        </w:tabs>
        <w:ind w:left="0"/>
        <w:rPr>
          <w:sz w:val="22"/>
          <w:szCs w:val="22"/>
        </w:rPr>
      </w:pPr>
      <w:r w:rsidRPr="004B4BDE">
        <w:rPr>
          <w:sz w:val="22"/>
          <w:szCs w:val="22"/>
        </w:rPr>
        <w:t xml:space="preserve">- </w:t>
      </w:r>
      <w:r>
        <w:rPr>
          <w:sz w:val="22"/>
          <w:szCs w:val="22"/>
        </w:rPr>
        <w:t>B</w:t>
      </w:r>
      <w:r w:rsidRPr="004B4BDE">
        <w:rPr>
          <w:sz w:val="22"/>
          <w:szCs w:val="22"/>
        </w:rPr>
        <w:t>asic</w:t>
      </w:r>
      <w:r w:rsidRPr="004B4BDE">
        <w:rPr>
          <w:sz w:val="22"/>
          <w:szCs w:val="22"/>
        </w:rPr>
        <w:tab/>
        <w:t>$2.30</w:t>
      </w:r>
      <w:r w:rsidRPr="004B4BDE">
        <w:rPr>
          <w:sz w:val="22"/>
          <w:szCs w:val="22"/>
        </w:rPr>
        <w:tab/>
        <w:t>$1.74</w:t>
      </w:r>
      <w:r w:rsidRPr="004B4BDE">
        <w:rPr>
          <w:sz w:val="22"/>
          <w:szCs w:val="22"/>
        </w:rPr>
        <w:tab/>
        <w:t>$1.42</w:t>
      </w:r>
    </w:p>
    <w:p w:rsidR="00D725CA" w:rsidRPr="004B4BDE" w:rsidRDefault="00D725CA" w:rsidP="000A0425">
      <w:pPr>
        <w:tabs>
          <w:tab w:val="left" w:pos="2821"/>
          <w:tab w:val="left" w:pos="4368"/>
          <w:tab w:val="left" w:pos="5824"/>
        </w:tabs>
        <w:ind w:left="0"/>
        <w:rPr>
          <w:sz w:val="22"/>
          <w:szCs w:val="22"/>
        </w:rPr>
      </w:pPr>
      <w:r w:rsidRPr="004B4BDE">
        <w:rPr>
          <w:sz w:val="22"/>
          <w:szCs w:val="22"/>
        </w:rPr>
        <w:t xml:space="preserve">- </w:t>
      </w:r>
      <w:r>
        <w:rPr>
          <w:sz w:val="22"/>
          <w:szCs w:val="22"/>
        </w:rPr>
        <w:t>D</w:t>
      </w:r>
      <w:r w:rsidRPr="004B4BDE">
        <w:rPr>
          <w:sz w:val="22"/>
          <w:szCs w:val="22"/>
        </w:rPr>
        <w:t>iluted</w:t>
      </w:r>
      <w:r w:rsidRPr="004B4BDE">
        <w:rPr>
          <w:sz w:val="22"/>
          <w:szCs w:val="22"/>
        </w:rPr>
        <w:tab/>
        <w:t>$2.25</w:t>
      </w:r>
      <w:r w:rsidRPr="004B4BDE">
        <w:rPr>
          <w:sz w:val="22"/>
          <w:szCs w:val="22"/>
        </w:rPr>
        <w:tab/>
        <w:t>$1.70</w:t>
      </w:r>
      <w:r w:rsidRPr="004B4BDE">
        <w:rPr>
          <w:sz w:val="22"/>
          <w:szCs w:val="22"/>
        </w:rPr>
        <w:tab/>
        <w:t>$1.38</w:t>
      </w:r>
    </w:p>
    <w:p w:rsidR="00D725CA" w:rsidRPr="004B4BDE" w:rsidRDefault="00D725CA" w:rsidP="000A0425">
      <w:pPr>
        <w:tabs>
          <w:tab w:val="left" w:pos="2821"/>
          <w:tab w:val="left" w:pos="4368"/>
          <w:tab w:val="left" w:pos="5824"/>
        </w:tabs>
        <w:ind w:left="0"/>
        <w:rPr>
          <w:sz w:val="22"/>
          <w:szCs w:val="22"/>
        </w:rPr>
      </w:pPr>
      <w:r w:rsidRPr="004B4BDE">
        <w:rPr>
          <w:b/>
          <w:sz w:val="22"/>
          <w:szCs w:val="22"/>
        </w:rPr>
        <w:t xml:space="preserve">Cash </w:t>
      </w:r>
      <w:r>
        <w:rPr>
          <w:b/>
          <w:sz w:val="22"/>
          <w:szCs w:val="22"/>
        </w:rPr>
        <w:t>D</w:t>
      </w:r>
      <w:r w:rsidRPr="004B4BDE">
        <w:rPr>
          <w:b/>
          <w:sz w:val="22"/>
          <w:szCs w:val="22"/>
        </w:rPr>
        <w:t xml:space="preserve">ividends </w:t>
      </w:r>
      <w:r>
        <w:rPr>
          <w:b/>
          <w:sz w:val="22"/>
          <w:szCs w:val="22"/>
        </w:rPr>
        <w:t>P</w:t>
      </w:r>
      <w:r w:rsidRPr="004B4BDE">
        <w:rPr>
          <w:b/>
          <w:sz w:val="22"/>
          <w:szCs w:val="22"/>
        </w:rPr>
        <w:t>aid</w:t>
      </w:r>
      <w:r w:rsidRPr="004B4BDE">
        <w:rPr>
          <w:b/>
          <w:sz w:val="22"/>
          <w:szCs w:val="22"/>
        </w:rPr>
        <w:tab/>
      </w:r>
      <w:r w:rsidRPr="004B4BDE">
        <w:rPr>
          <w:sz w:val="22"/>
          <w:szCs w:val="22"/>
        </w:rPr>
        <w:t>$0.75</w:t>
      </w:r>
      <w:r w:rsidRPr="004B4BDE">
        <w:rPr>
          <w:sz w:val="22"/>
          <w:szCs w:val="22"/>
        </w:rPr>
        <w:tab/>
        <w:t>$0.72</w:t>
      </w:r>
      <w:r w:rsidRPr="004B4BDE">
        <w:rPr>
          <w:sz w:val="22"/>
          <w:szCs w:val="22"/>
        </w:rPr>
        <w:tab/>
        <w:t>$0.65</w:t>
      </w:r>
    </w:p>
    <w:p w:rsidR="00D725CA" w:rsidRPr="004B4BDE" w:rsidRDefault="00D725CA" w:rsidP="000A0425">
      <w:pPr>
        <w:tabs>
          <w:tab w:val="left" w:pos="2821"/>
          <w:tab w:val="left" w:pos="4368"/>
          <w:tab w:val="left" w:pos="5824"/>
        </w:tabs>
        <w:ind w:left="0"/>
        <w:rPr>
          <w:sz w:val="22"/>
          <w:szCs w:val="22"/>
        </w:rPr>
      </w:pPr>
      <w:r w:rsidRPr="004B4BDE">
        <w:rPr>
          <w:b/>
          <w:sz w:val="22"/>
          <w:szCs w:val="22"/>
        </w:rPr>
        <w:t xml:space="preserve">Shareholders’ </w:t>
      </w:r>
      <w:r>
        <w:rPr>
          <w:b/>
          <w:sz w:val="22"/>
          <w:szCs w:val="22"/>
        </w:rPr>
        <w:t>E</w:t>
      </w:r>
      <w:r w:rsidRPr="004B4BDE">
        <w:rPr>
          <w:b/>
          <w:sz w:val="22"/>
          <w:szCs w:val="22"/>
        </w:rPr>
        <w:t>quity</w:t>
      </w:r>
      <w:r w:rsidRPr="004B4BDE">
        <w:rPr>
          <w:b/>
          <w:sz w:val="22"/>
          <w:szCs w:val="22"/>
        </w:rPr>
        <w:tab/>
      </w:r>
      <w:r w:rsidRPr="004B4BDE">
        <w:rPr>
          <w:sz w:val="22"/>
          <w:szCs w:val="22"/>
        </w:rPr>
        <w:t>$7.41</w:t>
      </w:r>
      <w:r w:rsidRPr="004B4BDE">
        <w:rPr>
          <w:sz w:val="22"/>
          <w:szCs w:val="22"/>
        </w:rPr>
        <w:tab/>
        <w:t>$7.92</w:t>
      </w:r>
      <w:r w:rsidRPr="004B4BDE">
        <w:rPr>
          <w:sz w:val="22"/>
          <w:szCs w:val="22"/>
        </w:rPr>
        <w:tab/>
        <w:t>$6.89</w:t>
      </w:r>
    </w:p>
    <w:p w:rsidR="00B65198" w:rsidRDefault="00B65198" w:rsidP="000A0425">
      <w:pPr>
        <w:ind w:left="0"/>
      </w:pPr>
    </w:p>
    <w:p w:rsidR="00B65198" w:rsidRDefault="00B65198" w:rsidP="000A0425">
      <w:pPr>
        <w:ind w:left="0"/>
      </w:pPr>
    </w:p>
    <w:p w:rsidR="00267E88" w:rsidRDefault="00267E88" w:rsidP="000A0425">
      <w:pPr>
        <w:ind w:left="0"/>
      </w:pPr>
    </w:p>
    <w:p w:rsidR="002A39ED" w:rsidRPr="002A0CEA" w:rsidRDefault="002A39ED" w:rsidP="003C4D76">
      <w:pPr>
        <w:ind w:left="0"/>
        <w:jc w:val="center"/>
        <w:rPr>
          <w:b/>
          <w:szCs w:val="24"/>
        </w:rPr>
      </w:pPr>
      <w:r w:rsidRPr="002A0CEA">
        <w:rPr>
          <w:b/>
          <w:szCs w:val="24"/>
        </w:rPr>
        <w:t>Market Price</w:t>
      </w:r>
    </w:p>
    <w:p w:rsidR="00E53EB0" w:rsidRDefault="002A39ED" w:rsidP="003C4D76">
      <w:pPr>
        <w:ind w:left="0"/>
        <w:jc w:val="center"/>
        <w:rPr>
          <w:i/>
          <w:sz w:val="20"/>
        </w:rPr>
      </w:pPr>
      <w:r w:rsidRPr="007F35DF">
        <w:rPr>
          <w:i/>
          <w:sz w:val="20"/>
        </w:rPr>
        <w:t>(</w:t>
      </w:r>
      <w:r>
        <w:rPr>
          <w:i/>
          <w:sz w:val="20"/>
        </w:rPr>
        <w:t>10-Year History</w:t>
      </w:r>
      <w:r w:rsidRPr="007F35DF">
        <w:rPr>
          <w:i/>
          <w:sz w:val="20"/>
        </w:rPr>
        <w:t>)</w:t>
      </w:r>
    </w:p>
    <w:p w:rsidR="00743ADD" w:rsidRDefault="00F53EF0" w:rsidP="000676E5">
      <w:pPr>
        <w:ind w:left="0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5486400" cy="32004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43ADD" w:rsidRDefault="00315448" w:rsidP="000A0425">
      <w:pPr>
        <w:ind w:left="0"/>
        <w:rPr>
          <w:szCs w:val="24"/>
        </w:rPr>
      </w:pPr>
      <w:r>
        <w:rPr>
          <w:szCs w:val="24"/>
        </w:rPr>
        <w:br w:type="page"/>
      </w:r>
    </w:p>
    <w:p w:rsidR="00743ADD" w:rsidRPr="002A0CEA" w:rsidRDefault="00531E9F" w:rsidP="003C4D76">
      <w:pPr>
        <w:ind w:left="0"/>
        <w:jc w:val="center"/>
        <w:rPr>
          <w:b/>
          <w:szCs w:val="24"/>
        </w:rPr>
      </w:pPr>
      <w:r w:rsidRPr="002A0CEA">
        <w:rPr>
          <w:b/>
          <w:szCs w:val="24"/>
        </w:rPr>
        <w:lastRenderedPageBreak/>
        <w:t>Statement of Profit</w:t>
      </w:r>
    </w:p>
    <w:p w:rsidR="002A0CEA" w:rsidRDefault="002A0CEA" w:rsidP="000A0425">
      <w:pPr>
        <w:ind w:left="0"/>
        <w:rPr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54"/>
        <w:gridCol w:w="1626"/>
        <w:gridCol w:w="1626"/>
        <w:gridCol w:w="1752"/>
      </w:tblGrid>
      <w:tr w:rsidR="00591B32" w:rsidRPr="00591B32" w:rsidTr="00551179">
        <w:trPr>
          <w:jc w:val="center"/>
        </w:trPr>
        <w:tc>
          <w:tcPr>
            <w:tcW w:w="2754" w:type="dxa"/>
          </w:tcPr>
          <w:p w:rsidR="00591B32" w:rsidRPr="00591B32" w:rsidRDefault="00591B32" w:rsidP="00591B32">
            <w:pPr>
              <w:ind w:left="0"/>
              <w:rPr>
                <w:sz w:val="22"/>
                <w:szCs w:val="22"/>
              </w:rPr>
            </w:pPr>
            <w:r w:rsidRPr="00591B32">
              <w:rPr>
                <w:i/>
                <w:sz w:val="22"/>
                <w:szCs w:val="22"/>
              </w:rPr>
              <w:t>For the year of</w:t>
            </w:r>
          </w:p>
        </w:tc>
        <w:tc>
          <w:tcPr>
            <w:tcW w:w="1626" w:type="dxa"/>
          </w:tcPr>
          <w:p w:rsidR="00591B32" w:rsidRPr="00591B32" w:rsidRDefault="00591B32" w:rsidP="00591B32">
            <w:pPr>
              <w:ind w:left="0"/>
              <w:rPr>
                <w:b/>
                <w:sz w:val="22"/>
                <w:szCs w:val="22"/>
              </w:rPr>
            </w:pPr>
            <w:r w:rsidRPr="00591B32">
              <w:rPr>
                <w:b/>
                <w:sz w:val="22"/>
                <w:szCs w:val="22"/>
              </w:rPr>
              <w:t>Year 10</w:t>
            </w:r>
          </w:p>
        </w:tc>
        <w:tc>
          <w:tcPr>
            <w:tcW w:w="1626" w:type="dxa"/>
          </w:tcPr>
          <w:p w:rsidR="00591B32" w:rsidRPr="00591B32" w:rsidRDefault="00591B32" w:rsidP="00591B32">
            <w:pPr>
              <w:ind w:left="0"/>
              <w:rPr>
                <w:b/>
                <w:sz w:val="22"/>
                <w:szCs w:val="22"/>
              </w:rPr>
            </w:pPr>
            <w:r w:rsidRPr="00591B32">
              <w:rPr>
                <w:b/>
                <w:sz w:val="22"/>
                <w:szCs w:val="22"/>
              </w:rPr>
              <w:t>Year 9</w:t>
            </w:r>
          </w:p>
        </w:tc>
        <w:tc>
          <w:tcPr>
            <w:tcW w:w="1752" w:type="dxa"/>
          </w:tcPr>
          <w:p w:rsidR="00591B32" w:rsidRPr="00591B32" w:rsidRDefault="00591B32" w:rsidP="00591B32">
            <w:pPr>
              <w:ind w:left="0"/>
              <w:rPr>
                <w:b/>
                <w:sz w:val="22"/>
                <w:szCs w:val="22"/>
              </w:rPr>
            </w:pPr>
            <w:r w:rsidRPr="00591B32">
              <w:rPr>
                <w:b/>
                <w:sz w:val="22"/>
                <w:szCs w:val="22"/>
              </w:rPr>
              <w:t>Year 8</w:t>
            </w:r>
          </w:p>
        </w:tc>
      </w:tr>
      <w:tr w:rsidR="00591B32" w:rsidRPr="00591B32" w:rsidTr="00551179">
        <w:trPr>
          <w:jc w:val="center"/>
        </w:trPr>
        <w:tc>
          <w:tcPr>
            <w:tcW w:w="2754" w:type="dxa"/>
          </w:tcPr>
          <w:p w:rsidR="00591B32" w:rsidRPr="00591B32" w:rsidRDefault="00591B32" w:rsidP="00591B32">
            <w:pPr>
              <w:ind w:left="0"/>
              <w:rPr>
                <w:b/>
                <w:sz w:val="22"/>
                <w:szCs w:val="22"/>
              </w:rPr>
            </w:pPr>
            <w:r w:rsidRPr="00591B32">
              <w:rPr>
                <w:b/>
                <w:sz w:val="22"/>
                <w:szCs w:val="22"/>
              </w:rPr>
              <w:t>Revenue</w:t>
            </w:r>
          </w:p>
        </w:tc>
        <w:tc>
          <w:tcPr>
            <w:tcW w:w="1626" w:type="dxa"/>
            <w:shd w:val="clear" w:color="auto" w:fill="D9D9D9" w:themeFill="background1" w:themeFillShade="D9"/>
          </w:tcPr>
          <w:p w:rsidR="00591B32" w:rsidRPr="00591B32" w:rsidRDefault="00591B32" w:rsidP="00591B3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auto" w:fill="D9D9D9" w:themeFill="background1" w:themeFillShade="D9"/>
          </w:tcPr>
          <w:p w:rsidR="00591B32" w:rsidRPr="00591B32" w:rsidRDefault="00591B32" w:rsidP="00591B3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752" w:type="dxa"/>
            <w:shd w:val="clear" w:color="auto" w:fill="D9D9D9" w:themeFill="background1" w:themeFillShade="D9"/>
          </w:tcPr>
          <w:p w:rsidR="00591B32" w:rsidRPr="00591B32" w:rsidRDefault="00591B32" w:rsidP="00591B32">
            <w:pPr>
              <w:ind w:left="0"/>
              <w:rPr>
                <w:sz w:val="22"/>
                <w:szCs w:val="22"/>
              </w:rPr>
            </w:pPr>
          </w:p>
        </w:tc>
      </w:tr>
      <w:tr w:rsidR="00591B32" w:rsidRPr="00591B32" w:rsidTr="00551179">
        <w:trPr>
          <w:jc w:val="center"/>
        </w:trPr>
        <w:tc>
          <w:tcPr>
            <w:tcW w:w="2754" w:type="dxa"/>
          </w:tcPr>
          <w:p w:rsidR="00591B32" w:rsidRPr="00591B32" w:rsidRDefault="00591B32" w:rsidP="00591B32">
            <w:pPr>
              <w:ind w:left="0"/>
              <w:rPr>
                <w:sz w:val="22"/>
                <w:szCs w:val="22"/>
              </w:rPr>
            </w:pPr>
            <w:r w:rsidRPr="00591B32">
              <w:rPr>
                <w:sz w:val="22"/>
                <w:szCs w:val="22"/>
              </w:rPr>
              <w:t>- Whitman Sons</w:t>
            </w:r>
          </w:p>
        </w:tc>
        <w:tc>
          <w:tcPr>
            <w:tcW w:w="1626" w:type="dxa"/>
          </w:tcPr>
          <w:p w:rsidR="00591B32" w:rsidRPr="00591B32" w:rsidRDefault="00591B32" w:rsidP="00591B32">
            <w:pPr>
              <w:ind w:left="0"/>
              <w:rPr>
                <w:sz w:val="22"/>
                <w:szCs w:val="22"/>
              </w:rPr>
            </w:pPr>
            <w:r w:rsidRPr="00591B32">
              <w:rPr>
                <w:sz w:val="22"/>
                <w:szCs w:val="22"/>
              </w:rPr>
              <w:t>$196,874,000</w:t>
            </w:r>
          </w:p>
        </w:tc>
        <w:tc>
          <w:tcPr>
            <w:tcW w:w="1626" w:type="dxa"/>
          </w:tcPr>
          <w:p w:rsidR="00591B32" w:rsidRPr="00591B32" w:rsidRDefault="00591B32" w:rsidP="00591B32">
            <w:pPr>
              <w:ind w:left="0"/>
              <w:rPr>
                <w:sz w:val="22"/>
                <w:szCs w:val="22"/>
              </w:rPr>
            </w:pPr>
            <w:r w:rsidRPr="00591B32">
              <w:rPr>
                <w:sz w:val="22"/>
                <w:szCs w:val="22"/>
              </w:rPr>
              <w:t>$173,719,000</w:t>
            </w:r>
          </w:p>
        </w:tc>
        <w:tc>
          <w:tcPr>
            <w:tcW w:w="1752" w:type="dxa"/>
          </w:tcPr>
          <w:p w:rsidR="00591B32" w:rsidRPr="00591B32" w:rsidRDefault="00591B32" w:rsidP="00591B32">
            <w:pPr>
              <w:ind w:left="0"/>
              <w:rPr>
                <w:sz w:val="22"/>
                <w:szCs w:val="22"/>
              </w:rPr>
            </w:pPr>
            <w:r w:rsidRPr="00591B32">
              <w:rPr>
                <w:sz w:val="22"/>
                <w:szCs w:val="22"/>
              </w:rPr>
              <w:t>$177,085,000</w:t>
            </w:r>
          </w:p>
        </w:tc>
      </w:tr>
      <w:tr w:rsidR="00591B32" w:rsidRPr="00591B32" w:rsidTr="00551179">
        <w:trPr>
          <w:jc w:val="center"/>
        </w:trPr>
        <w:tc>
          <w:tcPr>
            <w:tcW w:w="2754" w:type="dxa"/>
          </w:tcPr>
          <w:p w:rsidR="00591B32" w:rsidRPr="00591B32" w:rsidRDefault="00591B32" w:rsidP="00591B32">
            <w:pPr>
              <w:ind w:left="0"/>
              <w:rPr>
                <w:sz w:val="22"/>
                <w:szCs w:val="22"/>
              </w:rPr>
            </w:pPr>
            <w:r w:rsidRPr="00591B32">
              <w:rPr>
                <w:sz w:val="22"/>
                <w:szCs w:val="22"/>
              </w:rPr>
              <w:t>- Woman’s Wardrobe</w:t>
            </w:r>
          </w:p>
        </w:tc>
        <w:tc>
          <w:tcPr>
            <w:tcW w:w="1626" w:type="dxa"/>
          </w:tcPr>
          <w:p w:rsidR="00591B32" w:rsidRPr="00591B32" w:rsidRDefault="00591B32" w:rsidP="00591B32">
            <w:pPr>
              <w:ind w:left="0"/>
              <w:rPr>
                <w:sz w:val="22"/>
                <w:szCs w:val="22"/>
              </w:rPr>
            </w:pPr>
            <w:r w:rsidRPr="00591B32">
              <w:rPr>
                <w:sz w:val="22"/>
                <w:szCs w:val="22"/>
              </w:rPr>
              <w:t>$205,390,000</w:t>
            </w:r>
          </w:p>
        </w:tc>
        <w:tc>
          <w:tcPr>
            <w:tcW w:w="1626" w:type="dxa"/>
          </w:tcPr>
          <w:p w:rsidR="00591B32" w:rsidRPr="00591B32" w:rsidRDefault="00591B32" w:rsidP="00591B32">
            <w:pPr>
              <w:ind w:left="0"/>
              <w:rPr>
                <w:sz w:val="22"/>
                <w:szCs w:val="22"/>
              </w:rPr>
            </w:pPr>
            <w:r w:rsidRPr="00591B32">
              <w:rPr>
                <w:sz w:val="22"/>
                <w:szCs w:val="22"/>
              </w:rPr>
              <w:t>$200,750,000</w:t>
            </w:r>
          </w:p>
        </w:tc>
        <w:tc>
          <w:tcPr>
            <w:tcW w:w="1752" w:type="dxa"/>
          </w:tcPr>
          <w:p w:rsidR="00591B32" w:rsidRPr="00591B32" w:rsidRDefault="00591B32" w:rsidP="00591B32">
            <w:pPr>
              <w:ind w:left="0"/>
              <w:rPr>
                <w:sz w:val="22"/>
                <w:szCs w:val="22"/>
              </w:rPr>
            </w:pPr>
            <w:r w:rsidRPr="00591B32">
              <w:rPr>
                <w:sz w:val="22"/>
                <w:szCs w:val="22"/>
              </w:rPr>
              <w:t>$188,224,000</w:t>
            </w:r>
          </w:p>
        </w:tc>
      </w:tr>
      <w:tr w:rsidR="00591B32" w:rsidRPr="00591B32" w:rsidTr="00551179">
        <w:trPr>
          <w:jc w:val="center"/>
        </w:trPr>
        <w:tc>
          <w:tcPr>
            <w:tcW w:w="2754" w:type="dxa"/>
          </w:tcPr>
          <w:p w:rsidR="00591B32" w:rsidRPr="00591B32" w:rsidRDefault="00591B32" w:rsidP="00591B32">
            <w:pPr>
              <w:ind w:left="0"/>
              <w:rPr>
                <w:sz w:val="22"/>
                <w:szCs w:val="22"/>
              </w:rPr>
            </w:pPr>
            <w:r w:rsidRPr="00591B32">
              <w:rPr>
                <w:sz w:val="22"/>
                <w:szCs w:val="22"/>
              </w:rPr>
              <w:t>- Young and Chic</w:t>
            </w:r>
          </w:p>
        </w:tc>
        <w:tc>
          <w:tcPr>
            <w:tcW w:w="1626" w:type="dxa"/>
          </w:tcPr>
          <w:p w:rsidR="00591B32" w:rsidRPr="00591B32" w:rsidRDefault="00591B32" w:rsidP="00591B32">
            <w:pPr>
              <w:ind w:left="0"/>
              <w:rPr>
                <w:sz w:val="22"/>
                <w:szCs w:val="22"/>
              </w:rPr>
            </w:pPr>
            <w:r w:rsidRPr="00591B32">
              <w:rPr>
                <w:sz w:val="22"/>
                <w:szCs w:val="22"/>
              </w:rPr>
              <w:t>$348,224,000</w:t>
            </w:r>
          </w:p>
        </w:tc>
        <w:tc>
          <w:tcPr>
            <w:tcW w:w="1626" w:type="dxa"/>
          </w:tcPr>
          <w:p w:rsidR="00591B32" w:rsidRPr="00591B32" w:rsidRDefault="00591B32" w:rsidP="00591B32">
            <w:pPr>
              <w:ind w:left="0"/>
              <w:rPr>
                <w:sz w:val="22"/>
                <w:szCs w:val="22"/>
              </w:rPr>
            </w:pPr>
            <w:r w:rsidRPr="00591B32">
              <w:rPr>
                <w:sz w:val="22"/>
                <w:szCs w:val="22"/>
              </w:rPr>
              <w:t>$326,088,000</w:t>
            </w:r>
          </w:p>
        </w:tc>
        <w:tc>
          <w:tcPr>
            <w:tcW w:w="1752" w:type="dxa"/>
          </w:tcPr>
          <w:p w:rsidR="00591B32" w:rsidRPr="00591B32" w:rsidRDefault="00591B32" w:rsidP="00591B32">
            <w:pPr>
              <w:ind w:left="0"/>
              <w:rPr>
                <w:sz w:val="22"/>
                <w:szCs w:val="22"/>
              </w:rPr>
            </w:pPr>
            <w:r w:rsidRPr="00591B32">
              <w:rPr>
                <w:sz w:val="22"/>
                <w:szCs w:val="22"/>
              </w:rPr>
              <w:t>$295,561,000</w:t>
            </w:r>
          </w:p>
        </w:tc>
      </w:tr>
      <w:tr w:rsidR="00591B32" w:rsidRPr="00591B32" w:rsidTr="00551179">
        <w:trPr>
          <w:jc w:val="center"/>
        </w:trPr>
        <w:tc>
          <w:tcPr>
            <w:tcW w:w="2754" w:type="dxa"/>
          </w:tcPr>
          <w:p w:rsidR="00591B32" w:rsidRPr="00591B32" w:rsidRDefault="00591B32" w:rsidP="00591B32">
            <w:pPr>
              <w:ind w:left="0"/>
              <w:rPr>
                <w:b/>
                <w:sz w:val="22"/>
                <w:szCs w:val="22"/>
              </w:rPr>
            </w:pPr>
            <w:r w:rsidRPr="00591B32">
              <w:rPr>
                <w:b/>
                <w:sz w:val="22"/>
                <w:szCs w:val="22"/>
              </w:rPr>
              <w:t>Cost of Goods</w:t>
            </w:r>
          </w:p>
        </w:tc>
        <w:tc>
          <w:tcPr>
            <w:tcW w:w="1626" w:type="dxa"/>
            <w:shd w:val="clear" w:color="auto" w:fill="D9D9D9" w:themeFill="background1" w:themeFillShade="D9"/>
          </w:tcPr>
          <w:p w:rsidR="00591B32" w:rsidRPr="00591B32" w:rsidRDefault="00591B32" w:rsidP="00591B3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auto" w:fill="D9D9D9" w:themeFill="background1" w:themeFillShade="D9"/>
          </w:tcPr>
          <w:p w:rsidR="00591B32" w:rsidRPr="00591B32" w:rsidRDefault="00591B32" w:rsidP="00591B3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752" w:type="dxa"/>
            <w:shd w:val="clear" w:color="auto" w:fill="D9D9D9" w:themeFill="background1" w:themeFillShade="D9"/>
          </w:tcPr>
          <w:p w:rsidR="00591B32" w:rsidRPr="00591B32" w:rsidRDefault="00591B32" w:rsidP="00591B32">
            <w:pPr>
              <w:ind w:left="0"/>
              <w:rPr>
                <w:sz w:val="22"/>
                <w:szCs w:val="22"/>
              </w:rPr>
            </w:pPr>
          </w:p>
        </w:tc>
      </w:tr>
      <w:tr w:rsidR="00591B32" w:rsidRPr="00591B32" w:rsidTr="00551179">
        <w:trPr>
          <w:jc w:val="center"/>
        </w:trPr>
        <w:tc>
          <w:tcPr>
            <w:tcW w:w="2754" w:type="dxa"/>
          </w:tcPr>
          <w:p w:rsidR="00591B32" w:rsidRPr="00591B32" w:rsidRDefault="00591B32" w:rsidP="00591B32">
            <w:pPr>
              <w:ind w:left="0"/>
              <w:rPr>
                <w:sz w:val="22"/>
                <w:szCs w:val="22"/>
              </w:rPr>
            </w:pPr>
            <w:r w:rsidRPr="00591B32">
              <w:rPr>
                <w:sz w:val="22"/>
                <w:szCs w:val="22"/>
              </w:rPr>
              <w:t>- Whitman Sons</w:t>
            </w:r>
          </w:p>
        </w:tc>
        <w:tc>
          <w:tcPr>
            <w:tcW w:w="1626" w:type="dxa"/>
          </w:tcPr>
          <w:p w:rsidR="00591B32" w:rsidRPr="00591B32" w:rsidRDefault="00591B32" w:rsidP="00591B32">
            <w:pPr>
              <w:ind w:left="0"/>
              <w:rPr>
                <w:sz w:val="22"/>
                <w:szCs w:val="22"/>
              </w:rPr>
            </w:pPr>
            <w:r w:rsidRPr="00591B32">
              <w:rPr>
                <w:sz w:val="22"/>
                <w:szCs w:val="22"/>
              </w:rPr>
              <w:t>$101,989,000</w:t>
            </w:r>
          </w:p>
        </w:tc>
        <w:tc>
          <w:tcPr>
            <w:tcW w:w="1626" w:type="dxa"/>
          </w:tcPr>
          <w:p w:rsidR="00591B32" w:rsidRPr="00591B32" w:rsidRDefault="00591B32" w:rsidP="00591B32">
            <w:pPr>
              <w:ind w:left="0"/>
              <w:rPr>
                <w:sz w:val="22"/>
                <w:szCs w:val="22"/>
              </w:rPr>
            </w:pPr>
            <w:r w:rsidRPr="00591B32">
              <w:rPr>
                <w:sz w:val="22"/>
                <w:szCs w:val="22"/>
              </w:rPr>
              <w:t>$97,354,000</w:t>
            </w:r>
          </w:p>
        </w:tc>
        <w:tc>
          <w:tcPr>
            <w:tcW w:w="1752" w:type="dxa"/>
          </w:tcPr>
          <w:p w:rsidR="00591B32" w:rsidRPr="00591B32" w:rsidRDefault="00591B32" w:rsidP="00591B32">
            <w:pPr>
              <w:ind w:left="0"/>
              <w:rPr>
                <w:sz w:val="22"/>
                <w:szCs w:val="22"/>
              </w:rPr>
            </w:pPr>
            <w:r w:rsidRPr="00591B32">
              <w:rPr>
                <w:sz w:val="22"/>
                <w:szCs w:val="22"/>
              </w:rPr>
              <w:t>$90,005,000</w:t>
            </w:r>
          </w:p>
        </w:tc>
      </w:tr>
      <w:tr w:rsidR="00591B32" w:rsidRPr="00591B32" w:rsidTr="00551179">
        <w:trPr>
          <w:jc w:val="center"/>
        </w:trPr>
        <w:tc>
          <w:tcPr>
            <w:tcW w:w="2754" w:type="dxa"/>
          </w:tcPr>
          <w:p w:rsidR="00591B32" w:rsidRPr="00591B32" w:rsidRDefault="00591B32" w:rsidP="00591B32">
            <w:pPr>
              <w:ind w:left="0"/>
              <w:rPr>
                <w:sz w:val="22"/>
                <w:szCs w:val="22"/>
              </w:rPr>
            </w:pPr>
            <w:r w:rsidRPr="00591B32">
              <w:rPr>
                <w:sz w:val="22"/>
                <w:szCs w:val="22"/>
              </w:rPr>
              <w:t>- Woman’s Wardrobe</w:t>
            </w:r>
          </w:p>
        </w:tc>
        <w:tc>
          <w:tcPr>
            <w:tcW w:w="1626" w:type="dxa"/>
          </w:tcPr>
          <w:p w:rsidR="00591B32" w:rsidRPr="00591B32" w:rsidRDefault="00591B32" w:rsidP="00591B32">
            <w:pPr>
              <w:ind w:left="0"/>
              <w:rPr>
                <w:sz w:val="22"/>
                <w:szCs w:val="22"/>
              </w:rPr>
            </w:pPr>
            <w:r w:rsidRPr="00591B32">
              <w:rPr>
                <w:sz w:val="22"/>
                <w:szCs w:val="22"/>
              </w:rPr>
              <w:t>$150,023,000</w:t>
            </w:r>
          </w:p>
        </w:tc>
        <w:tc>
          <w:tcPr>
            <w:tcW w:w="1626" w:type="dxa"/>
          </w:tcPr>
          <w:p w:rsidR="00591B32" w:rsidRPr="00591B32" w:rsidRDefault="00591B32" w:rsidP="00591B32">
            <w:pPr>
              <w:ind w:left="0"/>
              <w:rPr>
                <w:sz w:val="22"/>
                <w:szCs w:val="22"/>
              </w:rPr>
            </w:pPr>
            <w:r w:rsidRPr="00591B32">
              <w:rPr>
                <w:sz w:val="22"/>
                <w:szCs w:val="22"/>
              </w:rPr>
              <w:t>$142,017,000</w:t>
            </w:r>
          </w:p>
        </w:tc>
        <w:tc>
          <w:tcPr>
            <w:tcW w:w="1752" w:type="dxa"/>
          </w:tcPr>
          <w:p w:rsidR="00591B32" w:rsidRPr="00591B32" w:rsidRDefault="00591B32" w:rsidP="00591B32">
            <w:pPr>
              <w:ind w:left="0"/>
              <w:rPr>
                <w:sz w:val="22"/>
                <w:szCs w:val="22"/>
              </w:rPr>
            </w:pPr>
            <w:r w:rsidRPr="00591B32">
              <w:rPr>
                <w:sz w:val="22"/>
                <w:szCs w:val="22"/>
              </w:rPr>
              <w:t>$131,714,000</w:t>
            </w:r>
          </w:p>
        </w:tc>
      </w:tr>
      <w:tr w:rsidR="00591B32" w:rsidRPr="00591B32" w:rsidTr="00551179">
        <w:trPr>
          <w:jc w:val="center"/>
        </w:trPr>
        <w:tc>
          <w:tcPr>
            <w:tcW w:w="2754" w:type="dxa"/>
          </w:tcPr>
          <w:p w:rsidR="00591B32" w:rsidRPr="00591B32" w:rsidRDefault="00591B32" w:rsidP="00591B32">
            <w:pPr>
              <w:ind w:left="0"/>
              <w:rPr>
                <w:sz w:val="22"/>
                <w:szCs w:val="22"/>
              </w:rPr>
            </w:pPr>
            <w:r w:rsidRPr="00591B32">
              <w:rPr>
                <w:sz w:val="22"/>
                <w:szCs w:val="22"/>
              </w:rPr>
              <w:t>- Young and Chic</w:t>
            </w:r>
          </w:p>
        </w:tc>
        <w:tc>
          <w:tcPr>
            <w:tcW w:w="1626" w:type="dxa"/>
          </w:tcPr>
          <w:p w:rsidR="00591B32" w:rsidRPr="00591B32" w:rsidRDefault="00591B32" w:rsidP="00591B32">
            <w:pPr>
              <w:ind w:left="0"/>
              <w:rPr>
                <w:sz w:val="22"/>
                <w:szCs w:val="22"/>
              </w:rPr>
            </w:pPr>
            <w:r w:rsidRPr="00591B32">
              <w:rPr>
                <w:sz w:val="22"/>
                <w:szCs w:val="22"/>
              </w:rPr>
              <w:t>$142,364,000</w:t>
            </w:r>
          </w:p>
        </w:tc>
        <w:tc>
          <w:tcPr>
            <w:tcW w:w="1626" w:type="dxa"/>
          </w:tcPr>
          <w:p w:rsidR="00591B32" w:rsidRPr="00591B32" w:rsidRDefault="00591B32" w:rsidP="00591B32">
            <w:pPr>
              <w:ind w:left="0"/>
              <w:rPr>
                <w:sz w:val="22"/>
                <w:szCs w:val="22"/>
              </w:rPr>
            </w:pPr>
            <w:r w:rsidRPr="00591B32">
              <w:rPr>
                <w:sz w:val="22"/>
                <w:szCs w:val="22"/>
              </w:rPr>
              <w:t>$138,806,000</w:t>
            </w:r>
          </w:p>
        </w:tc>
        <w:tc>
          <w:tcPr>
            <w:tcW w:w="1752" w:type="dxa"/>
          </w:tcPr>
          <w:p w:rsidR="00591B32" w:rsidRPr="00591B32" w:rsidRDefault="00591B32" w:rsidP="00591B32">
            <w:pPr>
              <w:ind w:left="0"/>
              <w:rPr>
                <w:sz w:val="22"/>
                <w:szCs w:val="22"/>
              </w:rPr>
            </w:pPr>
            <w:r w:rsidRPr="00591B32">
              <w:rPr>
                <w:sz w:val="22"/>
                <w:szCs w:val="22"/>
              </w:rPr>
              <w:t>$126,955,000</w:t>
            </w:r>
          </w:p>
        </w:tc>
      </w:tr>
      <w:tr w:rsidR="00591B32" w:rsidRPr="00591B32" w:rsidTr="00551179">
        <w:trPr>
          <w:jc w:val="center"/>
        </w:trPr>
        <w:tc>
          <w:tcPr>
            <w:tcW w:w="2754" w:type="dxa"/>
          </w:tcPr>
          <w:p w:rsidR="00591B32" w:rsidRPr="00591B32" w:rsidRDefault="00591B32" w:rsidP="00591B32">
            <w:pPr>
              <w:ind w:left="0"/>
              <w:rPr>
                <w:b/>
                <w:sz w:val="22"/>
                <w:szCs w:val="22"/>
              </w:rPr>
            </w:pPr>
            <w:r w:rsidRPr="00591B32">
              <w:rPr>
                <w:b/>
                <w:sz w:val="22"/>
                <w:szCs w:val="22"/>
              </w:rPr>
              <w:t>Total Cost of Goods</w:t>
            </w:r>
          </w:p>
        </w:tc>
        <w:tc>
          <w:tcPr>
            <w:tcW w:w="1626" w:type="dxa"/>
          </w:tcPr>
          <w:p w:rsidR="00591B32" w:rsidRPr="00591B32" w:rsidRDefault="00591B32" w:rsidP="00591B32">
            <w:pPr>
              <w:ind w:left="0"/>
              <w:rPr>
                <w:sz w:val="22"/>
                <w:szCs w:val="22"/>
              </w:rPr>
            </w:pPr>
            <w:r w:rsidRPr="00591B32">
              <w:rPr>
                <w:sz w:val="22"/>
                <w:szCs w:val="22"/>
              </w:rPr>
              <w:t>$394,376,000</w:t>
            </w:r>
          </w:p>
        </w:tc>
        <w:tc>
          <w:tcPr>
            <w:tcW w:w="1626" w:type="dxa"/>
          </w:tcPr>
          <w:p w:rsidR="00591B32" w:rsidRPr="00591B32" w:rsidRDefault="00591B32" w:rsidP="00591B32">
            <w:pPr>
              <w:ind w:left="0"/>
              <w:rPr>
                <w:sz w:val="22"/>
                <w:szCs w:val="22"/>
              </w:rPr>
            </w:pPr>
            <w:r w:rsidRPr="00591B32">
              <w:rPr>
                <w:sz w:val="22"/>
                <w:szCs w:val="22"/>
              </w:rPr>
              <w:t>$378,177,000</w:t>
            </w:r>
          </w:p>
        </w:tc>
        <w:tc>
          <w:tcPr>
            <w:tcW w:w="1752" w:type="dxa"/>
          </w:tcPr>
          <w:p w:rsidR="00591B32" w:rsidRPr="00591B32" w:rsidRDefault="00591B32" w:rsidP="00591B32">
            <w:pPr>
              <w:ind w:left="0"/>
              <w:rPr>
                <w:sz w:val="22"/>
                <w:szCs w:val="22"/>
              </w:rPr>
            </w:pPr>
            <w:r w:rsidRPr="00591B32">
              <w:rPr>
                <w:sz w:val="22"/>
                <w:szCs w:val="22"/>
              </w:rPr>
              <w:t>$348,674,000</w:t>
            </w:r>
          </w:p>
        </w:tc>
      </w:tr>
      <w:tr w:rsidR="00591B32" w:rsidRPr="00591B32" w:rsidTr="00551179">
        <w:trPr>
          <w:jc w:val="center"/>
        </w:trPr>
        <w:tc>
          <w:tcPr>
            <w:tcW w:w="2754" w:type="dxa"/>
          </w:tcPr>
          <w:p w:rsidR="00591B32" w:rsidRPr="00591B32" w:rsidRDefault="00591B32" w:rsidP="00591B32">
            <w:pPr>
              <w:ind w:left="0"/>
              <w:rPr>
                <w:b/>
                <w:sz w:val="22"/>
                <w:szCs w:val="22"/>
              </w:rPr>
            </w:pPr>
            <w:r w:rsidRPr="00591B32">
              <w:rPr>
                <w:b/>
                <w:sz w:val="22"/>
                <w:szCs w:val="22"/>
              </w:rPr>
              <w:t>Gross Profit</w:t>
            </w:r>
          </w:p>
        </w:tc>
        <w:tc>
          <w:tcPr>
            <w:tcW w:w="1626" w:type="dxa"/>
          </w:tcPr>
          <w:p w:rsidR="00591B32" w:rsidRPr="00591B32" w:rsidRDefault="00591B32" w:rsidP="00591B32">
            <w:pPr>
              <w:ind w:left="0"/>
              <w:rPr>
                <w:sz w:val="22"/>
                <w:szCs w:val="22"/>
              </w:rPr>
            </w:pPr>
            <w:r w:rsidRPr="00591B32">
              <w:rPr>
                <w:sz w:val="22"/>
                <w:szCs w:val="22"/>
              </w:rPr>
              <w:t>$356,112,000</w:t>
            </w:r>
          </w:p>
        </w:tc>
        <w:tc>
          <w:tcPr>
            <w:tcW w:w="1626" w:type="dxa"/>
          </w:tcPr>
          <w:p w:rsidR="00591B32" w:rsidRPr="00591B32" w:rsidRDefault="00591B32" w:rsidP="00591B32">
            <w:pPr>
              <w:ind w:left="0"/>
              <w:rPr>
                <w:sz w:val="22"/>
                <w:szCs w:val="22"/>
              </w:rPr>
            </w:pPr>
            <w:r w:rsidRPr="00591B32">
              <w:rPr>
                <w:sz w:val="22"/>
                <w:szCs w:val="22"/>
              </w:rPr>
              <w:t>$322,380,000</w:t>
            </w:r>
          </w:p>
        </w:tc>
        <w:tc>
          <w:tcPr>
            <w:tcW w:w="1752" w:type="dxa"/>
          </w:tcPr>
          <w:p w:rsidR="00591B32" w:rsidRPr="00591B32" w:rsidRDefault="00591B32" w:rsidP="00591B32">
            <w:pPr>
              <w:ind w:left="0"/>
              <w:rPr>
                <w:sz w:val="22"/>
                <w:szCs w:val="22"/>
              </w:rPr>
            </w:pPr>
            <w:r w:rsidRPr="00591B32">
              <w:rPr>
                <w:sz w:val="22"/>
                <w:szCs w:val="22"/>
              </w:rPr>
              <w:t>$312,196,000</w:t>
            </w:r>
          </w:p>
        </w:tc>
      </w:tr>
    </w:tbl>
    <w:p w:rsidR="002B5A3B" w:rsidRDefault="002B5A3B" w:rsidP="000A0425">
      <w:pPr>
        <w:ind w:left="0"/>
        <w:rPr>
          <w:szCs w:val="24"/>
        </w:rPr>
      </w:pPr>
    </w:p>
    <w:p w:rsidR="00B726D2" w:rsidRDefault="00B726D2" w:rsidP="000A0425">
      <w:pPr>
        <w:ind w:left="0"/>
        <w:rPr>
          <w:szCs w:val="24"/>
        </w:rPr>
      </w:pPr>
    </w:p>
    <w:p w:rsidR="008501B4" w:rsidRDefault="008501B4" w:rsidP="000A0425">
      <w:pPr>
        <w:ind w:left="0"/>
        <w:rPr>
          <w:b/>
          <w:szCs w:val="24"/>
        </w:rPr>
      </w:pPr>
    </w:p>
    <w:p w:rsidR="00B726D2" w:rsidRPr="00B726D2" w:rsidRDefault="00B726D2" w:rsidP="003C4D76">
      <w:pPr>
        <w:ind w:left="0"/>
        <w:jc w:val="center"/>
        <w:rPr>
          <w:b/>
          <w:szCs w:val="24"/>
        </w:rPr>
      </w:pPr>
      <w:r w:rsidRPr="00B726D2">
        <w:rPr>
          <w:b/>
          <w:szCs w:val="24"/>
        </w:rPr>
        <w:t xml:space="preserve">Vision for </w:t>
      </w:r>
      <w:r w:rsidR="00F0508D">
        <w:rPr>
          <w:b/>
          <w:szCs w:val="24"/>
        </w:rPr>
        <w:t>Year 11</w:t>
      </w:r>
    </w:p>
    <w:p w:rsidR="00B726D2" w:rsidRDefault="00B726D2" w:rsidP="000A0425">
      <w:pPr>
        <w:ind w:left="0"/>
        <w:rPr>
          <w:szCs w:val="24"/>
        </w:rPr>
      </w:pPr>
    </w:p>
    <w:p w:rsidR="00D725CA" w:rsidRPr="00E874C0" w:rsidRDefault="00D725CA" w:rsidP="000A0425">
      <w:pPr>
        <w:tabs>
          <w:tab w:val="left" w:pos="2988"/>
        </w:tabs>
        <w:ind w:left="0"/>
        <w:rPr>
          <w:i/>
        </w:rPr>
      </w:pPr>
      <w:r w:rsidRPr="00E874C0">
        <w:rPr>
          <w:i/>
        </w:rPr>
        <w:t>Product Line</w:t>
      </w:r>
      <w:r w:rsidRPr="00E874C0">
        <w:rPr>
          <w:i/>
        </w:rPr>
        <w:tab/>
        <w:t>Projected Increase in Sales</w:t>
      </w:r>
    </w:p>
    <w:p w:rsidR="00D725CA" w:rsidRDefault="00D725CA" w:rsidP="000A0425">
      <w:pPr>
        <w:tabs>
          <w:tab w:val="left" w:pos="2988"/>
        </w:tabs>
        <w:ind w:left="0"/>
      </w:pPr>
      <w:r w:rsidRPr="00E874C0">
        <w:rPr>
          <w:b/>
        </w:rPr>
        <w:t>Whitman Sons</w:t>
      </w:r>
      <w:r w:rsidRPr="00E874C0">
        <w:rPr>
          <w:b/>
        </w:rPr>
        <w:tab/>
      </w:r>
      <w:r>
        <w:t>6%</w:t>
      </w:r>
    </w:p>
    <w:p w:rsidR="00D725CA" w:rsidRDefault="00D725CA" w:rsidP="000A0425">
      <w:pPr>
        <w:tabs>
          <w:tab w:val="left" w:pos="2988"/>
        </w:tabs>
        <w:ind w:left="0"/>
      </w:pPr>
      <w:r w:rsidRPr="00E874C0">
        <w:rPr>
          <w:b/>
        </w:rPr>
        <w:t>Woman’s Wardrobe</w:t>
      </w:r>
      <w:r w:rsidRPr="00E874C0">
        <w:rPr>
          <w:b/>
        </w:rPr>
        <w:tab/>
      </w:r>
      <w:r>
        <w:t>10%</w:t>
      </w:r>
    </w:p>
    <w:p w:rsidR="00D725CA" w:rsidRDefault="00D725CA" w:rsidP="000A0425">
      <w:pPr>
        <w:tabs>
          <w:tab w:val="left" w:pos="2988"/>
        </w:tabs>
        <w:ind w:left="0"/>
      </w:pPr>
      <w:r w:rsidRPr="00E874C0">
        <w:rPr>
          <w:b/>
        </w:rPr>
        <w:t>Young and Chic</w:t>
      </w:r>
      <w:r w:rsidRPr="00E874C0">
        <w:rPr>
          <w:b/>
        </w:rPr>
        <w:tab/>
      </w:r>
      <w:r>
        <w:t>9%</w:t>
      </w:r>
    </w:p>
    <w:p w:rsidR="00B726D2" w:rsidRPr="00B03E09" w:rsidRDefault="00B726D2" w:rsidP="000A0425">
      <w:pPr>
        <w:ind w:left="0"/>
      </w:pPr>
    </w:p>
    <w:sectPr w:rsidR="00B726D2" w:rsidRPr="00B03E09" w:rsidSect="004E499A">
      <w:footerReference w:type="even" r:id="rId9"/>
      <w:pgSz w:w="12240" w:h="15840" w:code="1"/>
      <w:pgMar w:top="1440" w:right="1440" w:bottom="1440" w:left="1440" w:header="720" w:footer="965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3D9" w:rsidRDefault="00EF13D9">
      <w:r>
        <w:separator/>
      </w:r>
    </w:p>
  </w:endnote>
  <w:endnote w:type="continuationSeparator" w:id="0">
    <w:p w:rsidR="00EF13D9" w:rsidRDefault="00EF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B32" w:rsidRDefault="00591B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91B32" w:rsidRDefault="00591B32">
    <w:pPr>
      <w:pStyle w:val="Footer"/>
    </w:pPr>
  </w:p>
  <w:p w:rsidR="00591B32" w:rsidRDefault="00591B3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3D9" w:rsidRDefault="00EF13D9">
      <w:r>
        <w:separator/>
      </w:r>
    </w:p>
  </w:footnote>
  <w:footnote w:type="continuationSeparator" w:id="0">
    <w:p w:rsidR="00EF13D9" w:rsidRDefault="00EF13D9">
      <w:r>
        <w:continuationSeparator/>
      </w:r>
    </w:p>
  </w:footnote>
  <w:footnote w:id="1">
    <w:p w:rsidR="00D53328" w:rsidRDefault="00D53328">
      <w:pPr>
        <w:pStyle w:val="FootnoteText"/>
      </w:pPr>
      <w:r>
        <w:rPr>
          <w:rStyle w:val="FootnoteReference"/>
        </w:rPr>
        <w:footnoteRef/>
      </w:r>
      <w:r>
        <w:t xml:space="preserve"> Financial data is accurate and complete as of print date.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35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E55"/>
    <w:rsid w:val="00014B69"/>
    <w:rsid w:val="00016A36"/>
    <w:rsid w:val="00055062"/>
    <w:rsid w:val="000640E6"/>
    <w:rsid w:val="000676E5"/>
    <w:rsid w:val="0007710E"/>
    <w:rsid w:val="00080FC9"/>
    <w:rsid w:val="00087AB3"/>
    <w:rsid w:val="00092F7D"/>
    <w:rsid w:val="000933DE"/>
    <w:rsid w:val="000934B2"/>
    <w:rsid w:val="00095375"/>
    <w:rsid w:val="000A00C0"/>
    <w:rsid w:val="000A0425"/>
    <w:rsid w:val="000C05D5"/>
    <w:rsid w:val="000F3CAD"/>
    <w:rsid w:val="000F5082"/>
    <w:rsid w:val="00103C94"/>
    <w:rsid w:val="0011417F"/>
    <w:rsid w:val="00127642"/>
    <w:rsid w:val="00143209"/>
    <w:rsid w:val="00145618"/>
    <w:rsid w:val="00153A44"/>
    <w:rsid w:val="00165DCA"/>
    <w:rsid w:val="00166880"/>
    <w:rsid w:val="00185F16"/>
    <w:rsid w:val="001A3100"/>
    <w:rsid w:val="001A7639"/>
    <w:rsid w:val="001C0F50"/>
    <w:rsid w:val="001C154F"/>
    <w:rsid w:val="001D00EF"/>
    <w:rsid w:val="001D37D2"/>
    <w:rsid w:val="002068B0"/>
    <w:rsid w:val="002071F1"/>
    <w:rsid w:val="0023089C"/>
    <w:rsid w:val="00243C57"/>
    <w:rsid w:val="0026448A"/>
    <w:rsid w:val="00267C14"/>
    <w:rsid w:val="00267E88"/>
    <w:rsid w:val="002A0CEA"/>
    <w:rsid w:val="002A39ED"/>
    <w:rsid w:val="002B4F54"/>
    <w:rsid w:val="002B5A3B"/>
    <w:rsid w:val="002B7A30"/>
    <w:rsid w:val="002D1E6E"/>
    <w:rsid w:val="002D2C3C"/>
    <w:rsid w:val="002D7F35"/>
    <w:rsid w:val="002F056D"/>
    <w:rsid w:val="002F0B92"/>
    <w:rsid w:val="002F350E"/>
    <w:rsid w:val="00300B4A"/>
    <w:rsid w:val="00306995"/>
    <w:rsid w:val="003116DB"/>
    <w:rsid w:val="00315448"/>
    <w:rsid w:val="00315564"/>
    <w:rsid w:val="00316475"/>
    <w:rsid w:val="003176BD"/>
    <w:rsid w:val="00321E3A"/>
    <w:rsid w:val="00322740"/>
    <w:rsid w:val="003433DF"/>
    <w:rsid w:val="00351457"/>
    <w:rsid w:val="00364537"/>
    <w:rsid w:val="00364998"/>
    <w:rsid w:val="00373077"/>
    <w:rsid w:val="00374056"/>
    <w:rsid w:val="003750E9"/>
    <w:rsid w:val="003767AF"/>
    <w:rsid w:val="00381F27"/>
    <w:rsid w:val="0038487D"/>
    <w:rsid w:val="0039649A"/>
    <w:rsid w:val="003A1AD5"/>
    <w:rsid w:val="003A39E4"/>
    <w:rsid w:val="003A481E"/>
    <w:rsid w:val="003B470A"/>
    <w:rsid w:val="003C080B"/>
    <w:rsid w:val="003C4D76"/>
    <w:rsid w:val="003D4379"/>
    <w:rsid w:val="00416E65"/>
    <w:rsid w:val="0042084F"/>
    <w:rsid w:val="0042123F"/>
    <w:rsid w:val="004370AE"/>
    <w:rsid w:val="0048067D"/>
    <w:rsid w:val="004A3FDB"/>
    <w:rsid w:val="004A4857"/>
    <w:rsid w:val="004B3861"/>
    <w:rsid w:val="004B4BDE"/>
    <w:rsid w:val="004B5132"/>
    <w:rsid w:val="004D37AB"/>
    <w:rsid w:val="004E499A"/>
    <w:rsid w:val="004F7D25"/>
    <w:rsid w:val="005047FE"/>
    <w:rsid w:val="00517864"/>
    <w:rsid w:val="00531E9F"/>
    <w:rsid w:val="00531F20"/>
    <w:rsid w:val="00542634"/>
    <w:rsid w:val="005442E9"/>
    <w:rsid w:val="00551179"/>
    <w:rsid w:val="005526EC"/>
    <w:rsid w:val="00583567"/>
    <w:rsid w:val="00583EA6"/>
    <w:rsid w:val="00591B32"/>
    <w:rsid w:val="005B3955"/>
    <w:rsid w:val="005C44C8"/>
    <w:rsid w:val="005D54BB"/>
    <w:rsid w:val="005D756A"/>
    <w:rsid w:val="005E1CFD"/>
    <w:rsid w:val="005E5BED"/>
    <w:rsid w:val="005F1500"/>
    <w:rsid w:val="006060B0"/>
    <w:rsid w:val="006060EB"/>
    <w:rsid w:val="006212A8"/>
    <w:rsid w:val="00636B63"/>
    <w:rsid w:val="00666AAC"/>
    <w:rsid w:val="00670588"/>
    <w:rsid w:val="006826C5"/>
    <w:rsid w:val="0068348E"/>
    <w:rsid w:val="006B5C85"/>
    <w:rsid w:val="006C3CD6"/>
    <w:rsid w:val="006C4153"/>
    <w:rsid w:val="006D0478"/>
    <w:rsid w:val="006D36F0"/>
    <w:rsid w:val="006D459E"/>
    <w:rsid w:val="006F4A82"/>
    <w:rsid w:val="00701B84"/>
    <w:rsid w:val="00703678"/>
    <w:rsid w:val="00714035"/>
    <w:rsid w:val="00743ADD"/>
    <w:rsid w:val="0075251E"/>
    <w:rsid w:val="00752824"/>
    <w:rsid w:val="00760CC2"/>
    <w:rsid w:val="00767CC5"/>
    <w:rsid w:val="00777886"/>
    <w:rsid w:val="007837D0"/>
    <w:rsid w:val="00787A7E"/>
    <w:rsid w:val="00791B2C"/>
    <w:rsid w:val="007B1823"/>
    <w:rsid w:val="007C763A"/>
    <w:rsid w:val="007D39BC"/>
    <w:rsid w:val="007D66C3"/>
    <w:rsid w:val="007F35DF"/>
    <w:rsid w:val="007F5574"/>
    <w:rsid w:val="007F577E"/>
    <w:rsid w:val="007F799E"/>
    <w:rsid w:val="00811C5C"/>
    <w:rsid w:val="00816E52"/>
    <w:rsid w:val="00847B0F"/>
    <w:rsid w:val="008501B4"/>
    <w:rsid w:val="008529A0"/>
    <w:rsid w:val="008646CE"/>
    <w:rsid w:val="00864DAD"/>
    <w:rsid w:val="00866C33"/>
    <w:rsid w:val="0087415F"/>
    <w:rsid w:val="00883448"/>
    <w:rsid w:val="00894865"/>
    <w:rsid w:val="008A34BA"/>
    <w:rsid w:val="008A63D1"/>
    <w:rsid w:val="009128A3"/>
    <w:rsid w:val="00921BB9"/>
    <w:rsid w:val="00925A43"/>
    <w:rsid w:val="00942053"/>
    <w:rsid w:val="00963FDC"/>
    <w:rsid w:val="00973E43"/>
    <w:rsid w:val="00974F78"/>
    <w:rsid w:val="00982833"/>
    <w:rsid w:val="00985D77"/>
    <w:rsid w:val="00990F3C"/>
    <w:rsid w:val="00992BE1"/>
    <w:rsid w:val="00993CE0"/>
    <w:rsid w:val="00994AAB"/>
    <w:rsid w:val="009A14BC"/>
    <w:rsid w:val="009A265F"/>
    <w:rsid w:val="009A73E9"/>
    <w:rsid w:val="009B1EA0"/>
    <w:rsid w:val="009C2578"/>
    <w:rsid w:val="009C4208"/>
    <w:rsid w:val="009D430A"/>
    <w:rsid w:val="009D5950"/>
    <w:rsid w:val="009E19AA"/>
    <w:rsid w:val="009E2E96"/>
    <w:rsid w:val="009E7514"/>
    <w:rsid w:val="009F119C"/>
    <w:rsid w:val="00A15AAF"/>
    <w:rsid w:val="00A349A9"/>
    <w:rsid w:val="00A54DAA"/>
    <w:rsid w:val="00A64370"/>
    <w:rsid w:val="00A671AE"/>
    <w:rsid w:val="00A71565"/>
    <w:rsid w:val="00A91664"/>
    <w:rsid w:val="00A96AE3"/>
    <w:rsid w:val="00AA2FCE"/>
    <w:rsid w:val="00AA563F"/>
    <w:rsid w:val="00AA7C63"/>
    <w:rsid w:val="00AC7B7B"/>
    <w:rsid w:val="00AE05DF"/>
    <w:rsid w:val="00B03E09"/>
    <w:rsid w:val="00B04411"/>
    <w:rsid w:val="00B0619B"/>
    <w:rsid w:val="00B120FF"/>
    <w:rsid w:val="00B16191"/>
    <w:rsid w:val="00B2347F"/>
    <w:rsid w:val="00B2660A"/>
    <w:rsid w:val="00B34C04"/>
    <w:rsid w:val="00B65198"/>
    <w:rsid w:val="00B65B35"/>
    <w:rsid w:val="00B726D2"/>
    <w:rsid w:val="00B77CFF"/>
    <w:rsid w:val="00B8246A"/>
    <w:rsid w:val="00B87EA6"/>
    <w:rsid w:val="00B93BA5"/>
    <w:rsid w:val="00B95DC9"/>
    <w:rsid w:val="00BA2C0F"/>
    <w:rsid w:val="00BA66BD"/>
    <w:rsid w:val="00BB32CE"/>
    <w:rsid w:val="00BB3DC6"/>
    <w:rsid w:val="00BB73C7"/>
    <w:rsid w:val="00BC429D"/>
    <w:rsid w:val="00BC5FE2"/>
    <w:rsid w:val="00BC7BFE"/>
    <w:rsid w:val="00BE101D"/>
    <w:rsid w:val="00BE1266"/>
    <w:rsid w:val="00BE7A15"/>
    <w:rsid w:val="00BF6A96"/>
    <w:rsid w:val="00C10E55"/>
    <w:rsid w:val="00C15FF8"/>
    <w:rsid w:val="00C2259A"/>
    <w:rsid w:val="00C244EE"/>
    <w:rsid w:val="00C24B9C"/>
    <w:rsid w:val="00C256C2"/>
    <w:rsid w:val="00C27AD3"/>
    <w:rsid w:val="00C30128"/>
    <w:rsid w:val="00C36A9B"/>
    <w:rsid w:val="00C36D63"/>
    <w:rsid w:val="00C422A6"/>
    <w:rsid w:val="00C431E2"/>
    <w:rsid w:val="00C641BC"/>
    <w:rsid w:val="00C7477E"/>
    <w:rsid w:val="00C77771"/>
    <w:rsid w:val="00C909EA"/>
    <w:rsid w:val="00C926EB"/>
    <w:rsid w:val="00C94D07"/>
    <w:rsid w:val="00CC1F5C"/>
    <w:rsid w:val="00CD3EC2"/>
    <w:rsid w:val="00CE477B"/>
    <w:rsid w:val="00CF5932"/>
    <w:rsid w:val="00D009D1"/>
    <w:rsid w:val="00D02DD0"/>
    <w:rsid w:val="00D06F0D"/>
    <w:rsid w:val="00D139C4"/>
    <w:rsid w:val="00D235BE"/>
    <w:rsid w:val="00D24273"/>
    <w:rsid w:val="00D260A3"/>
    <w:rsid w:val="00D26450"/>
    <w:rsid w:val="00D26559"/>
    <w:rsid w:val="00D45854"/>
    <w:rsid w:val="00D51F2F"/>
    <w:rsid w:val="00D53328"/>
    <w:rsid w:val="00D55012"/>
    <w:rsid w:val="00D57897"/>
    <w:rsid w:val="00D725CA"/>
    <w:rsid w:val="00D77B28"/>
    <w:rsid w:val="00D92334"/>
    <w:rsid w:val="00D9315B"/>
    <w:rsid w:val="00DD57AE"/>
    <w:rsid w:val="00DF13AA"/>
    <w:rsid w:val="00E0303D"/>
    <w:rsid w:val="00E10E52"/>
    <w:rsid w:val="00E110E1"/>
    <w:rsid w:val="00E210A8"/>
    <w:rsid w:val="00E30FA0"/>
    <w:rsid w:val="00E3116D"/>
    <w:rsid w:val="00E434E5"/>
    <w:rsid w:val="00E53EB0"/>
    <w:rsid w:val="00E54942"/>
    <w:rsid w:val="00E7023B"/>
    <w:rsid w:val="00E874C0"/>
    <w:rsid w:val="00EA32D2"/>
    <w:rsid w:val="00EA63F4"/>
    <w:rsid w:val="00EC2681"/>
    <w:rsid w:val="00ED096F"/>
    <w:rsid w:val="00ED1A1F"/>
    <w:rsid w:val="00EF13D9"/>
    <w:rsid w:val="00EF18FC"/>
    <w:rsid w:val="00EF3E33"/>
    <w:rsid w:val="00EF4E5B"/>
    <w:rsid w:val="00F0508D"/>
    <w:rsid w:val="00F074CF"/>
    <w:rsid w:val="00F32098"/>
    <w:rsid w:val="00F45EB0"/>
    <w:rsid w:val="00F53EF0"/>
    <w:rsid w:val="00F559A4"/>
    <w:rsid w:val="00F61515"/>
    <w:rsid w:val="00F615BC"/>
    <w:rsid w:val="00F62337"/>
    <w:rsid w:val="00F74293"/>
    <w:rsid w:val="00F74B7F"/>
    <w:rsid w:val="00F9175A"/>
    <w:rsid w:val="00F92C68"/>
    <w:rsid w:val="00FC3B67"/>
    <w:rsid w:val="00FC79D9"/>
    <w:rsid w:val="00FE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9,#06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487D"/>
    <w:pPr>
      <w:ind w:left="835"/>
    </w:pPr>
    <w:rPr>
      <w:spacing w:val="-5"/>
      <w:sz w:val="24"/>
    </w:rPr>
  </w:style>
  <w:style w:type="paragraph" w:styleId="Heading1">
    <w:name w:val="heading 1"/>
    <w:basedOn w:val="Normal"/>
    <w:qFormat/>
    <w:rsid w:val="008A63D1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CD3E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D3E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">
    <w:name w:val="t"/>
    <w:basedOn w:val="Normal"/>
    <w:semiHidden/>
    <w:rsid w:val="008A63D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Hyperlink">
    <w:name w:val="Hyperlink"/>
    <w:basedOn w:val="DefaultParagraphFont"/>
    <w:semiHidden/>
    <w:rsid w:val="008A63D1"/>
    <w:rPr>
      <w:color w:val="0000FF"/>
      <w:u w:val="single"/>
    </w:rPr>
  </w:style>
  <w:style w:type="paragraph" w:styleId="HTMLPreformatted">
    <w:name w:val="HTML Preformatted"/>
    <w:basedOn w:val="Normal"/>
    <w:semiHidden/>
    <w:rsid w:val="008A63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</w:rPr>
  </w:style>
  <w:style w:type="character" w:styleId="HTMLCode">
    <w:name w:val="HTML Code"/>
    <w:basedOn w:val="DefaultParagraphFont"/>
    <w:semiHidden/>
    <w:rsid w:val="008A63D1"/>
    <w:rPr>
      <w:rFonts w:ascii="Arial Unicode MS" w:eastAsia="Arial Unicode MS" w:hAnsi="Arial Unicode MS" w:cs="Arial Unicode MS"/>
      <w:sz w:val="20"/>
      <w:szCs w:val="20"/>
    </w:rPr>
  </w:style>
  <w:style w:type="paragraph" w:customStyle="1" w:styleId="rlnsr">
    <w:name w:val="rlnsr"/>
    <w:basedOn w:val="Normal"/>
    <w:semiHidden/>
    <w:rsid w:val="008A63D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rl">
    <w:name w:val="rl"/>
    <w:basedOn w:val="Normal"/>
    <w:semiHidden/>
    <w:rsid w:val="008A63D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syn">
    <w:name w:val="syn"/>
    <w:basedOn w:val="Normal"/>
    <w:semiHidden/>
    <w:rsid w:val="008A63D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dt1">
    <w:name w:val="dt1"/>
    <w:basedOn w:val="Normal"/>
    <w:semiHidden/>
    <w:rsid w:val="008A63D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alnsr">
    <w:name w:val="alnsr"/>
    <w:basedOn w:val="Normal"/>
    <w:semiHidden/>
    <w:rsid w:val="008A63D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FollowedHyperlink">
    <w:name w:val="FollowedHyperlink"/>
    <w:basedOn w:val="DefaultParagraphFont"/>
    <w:semiHidden/>
    <w:rsid w:val="008A63D1"/>
    <w:rPr>
      <w:color w:val="800080"/>
      <w:u w:val="single"/>
    </w:rPr>
  </w:style>
  <w:style w:type="paragraph" w:styleId="BodyText">
    <w:name w:val="Body Text"/>
    <w:basedOn w:val="Normal"/>
    <w:semiHidden/>
    <w:rsid w:val="008A63D1"/>
    <w:pPr>
      <w:spacing w:after="220" w:line="180" w:lineRule="atLeast"/>
      <w:jc w:val="both"/>
    </w:pPr>
  </w:style>
  <w:style w:type="paragraph" w:customStyle="1" w:styleId="CompanyName">
    <w:name w:val="Company Name"/>
    <w:basedOn w:val="Normal"/>
    <w:semiHidden/>
    <w:rsid w:val="008A63D1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semiHidden/>
    <w:rsid w:val="008A63D1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styleId="Footer">
    <w:name w:val="footer"/>
    <w:basedOn w:val="Normal"/>
    <w:rsid w:val="008A63D1"/>
    <w:pPr>
      <w:keepLines/>
      <w:tabs>
        <w:tab w:val="center" w:pos="4320"/>
        <w:tab w:val="right" w:pos="8640"/>
      </w:tabs>
      <w:spacing w:before="600" w:line="180" w:lineRule="atLeast"/>
      <w:jc w:val="both"/>
    </w:pPr>
    <w:rPr>
      <w:sz w:val="18"/>
    </w:rPr>
  </w:style>
  <w:style w:type="paragraph" w:styleId="MessageHeader">
    <w:name w:val="Message Header"/>
    <w:basedOn w:val="BodyText"/>
    <w:semiHidden/>
    <w:rsid w:val="008A63D1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semiHidden/>
    <w:rsid w:val="008A63D1"/>
    <w:pPr>
      <w:spacing w:before="220"/>
    </w:pPr>
  </w:style>
  <w:style w:type="character" w:customStyle="1" w:styleId="MessageHeaderLabel">
    <w:name w:val="Message Header Label"/>
    <w:semiHidden/>
    <w:rsid w:val="008A63D1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semiHidden/>
    <w:rsid w:val="008A63D1"/>
    <w:pPr>
      <w:pBdr>
        <w:bottom w:val="single" w:sz="6" w:space="15" w:color="auto"/>
      </w:pBdr>
      <w:spacing w:after="320"/>
    </w:pPr>
  </w:style>
  <w:style w:type="character" w:styleId="PageNumber">
    <w:name w:val="page number"/>
    <w:rsid w:val="008A63D1"/>
    <w:rPr>
      <w:sz w:val="18"/>
    </w:rPr>
  </w:style>
  <w:style w:type="paragraph" w:customStyle="1" w:styleId="ReturnAddress">
    <w:name w:val="Return Address"/>
    <w:basedOn w:val="Normal"/>
    <w:semiHidden/>
    <w:rsid w:val="008A63D1"/>
    <w:pPr>
      <w:keepLines/>
      <w:spacing w:line="200" w:lineRule="atLeast"/>
      <w:ind w:left="0"/>
    </w:pPr>
    <w:rPr>
      <w:spacing w:val="-2"/>
      <w:sz w:val="16"/>
    </w:rPr>
  </w:style>
  <w:style w:type="paragraph" w:styleId="Header">
    <w:name w:val="header"/>
    <w:basedOn w:val="Normal"/>
    <w:rsid w:val="008A63D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16E52"/>
    <w:pPr>
      <w:ind w:left="835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3A1AD5"/>
    <w:rPr>
      <w:sz w:val="20"/>
    </w:rPr>
  </w:style>
  <w:style w:type="character" w:styleId="FootnoteReference">
    <w:name w:val="footnote reference"/>
    <w:basedOn w:val="DefaultParagraphFont"/>
    <w:semiHidden/>
    <w:rsid w:val="003A1AD5"/>
    <w:rPr>
      <w:vertAlign w:val="superscript"/>
    </w:rPr>
  </w:style>
  <w:style w:type="paragraph" w:styleId="Caption">
    <w:name w:val="caption"/>
    <w:basedOn w:val="Normal"/>
    <w:next w:val="Normal"/>
    <w:qFormat/>
    <w:rsid w:val="00714035"/>
    <w:pPr>
      <w:spacing w:before="120" w:after="120"/>
    </w:pPr>
    <w:rPr>
      <w:b/>
      <w:bCs/>
      <w:sz w:val="20"/>
    </w:rPr>
  </w:style>
  <w:style w:type="paragraph" w:styleId="BalloonText">
    <w:name w:val="Balloon Text"/>
    <w:basedOn w:val="Normal"/>
    <w:semiHidden/>
    <w:rsid w:val="003767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487D"/>
    <w:pPr>
      <w:ind w:left="835"/>
    </w:pPr>
    <w:rPr>
      <w:spacing w:val="-5"/>
      <w:sz w:val="24"/>
    </w:rPr>
  </w:style>
  <w:style w:type="paragraph" w:styleId="Heading1">
    <w:name w:val="heading 1"/>
    <w:basedOn w:val="Normal"/>
    <w:qFormat/>
    <w:rsid w:val="008A63D1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CD3E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D3E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">
    <w:name w:val="t"/>
    <w:basedOn w:val="Normal"/>
    <w:semiHidden/>
    <w:rsid w:val="008A63D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Hyperlink">
    <w:name w:val="Hyperlink"/>
    <w:basedOn w:val="DefaultParagraphFont"/>
    <w:semiHidden/>
    <w:rsid w:val="008A63D1"/>
    <w:rPr>
      <w:color w:val="0000FF"/>
      <w:u w:val="single"/>
    </w:rPr>
  </w:style>
  <w:style w:type="paragraph" w:styleId="HTMLPreformatted">
    <w:name w:val="HTML Preformatted"/>
    <w:basedOn w:val="Normal"/>
    <w:semiHidden/>
    <w:rsid w:val="008A63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</w:rPr>
  </w:style>
  <w:style w:type="character" w:styleId="HTMLCode">
    <w:name w:val="HTML Code"/>
    <w:basedOn w:val="DefaultParagraphFont"/>
    <w:semiHidden/>
    <w:rsid w:val="008A63D1"/>
    <w:rPr>
      <w:rFonts w:ascii="Arial Unicode MS" w:eastAsia="Arial Unicode MS" w:hAnsi="Arial Unicode MS" w:cs="Arial Unicode MS"/>
      <w:sz w:val="20"/>
      <w:szCs w:val="20"/>
    </w:rPr>
  </w:style>
  <w:style w:type="paragraph" w:customStyle="1" w:styleId="rlnsr">
    <w:name w:val="rlnsr"/>
    <w:basedOn w:val="Normal"/>
    <w:semiHidden/>
    <w:rsid w:val="008A63D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rl">
    <w:name w:val="rl"/>
    <w:basedOn w:val="Normal"/>
    <w:semiHidden/>
    <w:rsid w:val="008A63D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syn">
    <w:name w:val="syn"/>
    <w:basedOn w:val="Normal"/>
    <w:semiHidden/>
    <w:rsid w:val="008A63D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dt1">
    <w:name w:val="dt1"/>
    <w:basedOn w:val="Normal"/>
    <w:semiHidden/>
    <w:rsid w:val="008A63D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alnsr">
    <w:name w:val="alnsr"/>
    <w:basedOn w:val="Normal"/>
    <w:semiHidden/>
    <w:rsid w:val="008A63D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FollowedHyperlink">
    <w:name w:val="FollowedHyperlink"/>
    <w:basedOn w:val="DefaultParagraphFont"/>
    <w:semiHidden/>
    <w:rsid w:val="008A63D1"/>
    <w:rPr>
      <w:color w:val="800080"/>
      <w:u w:val="single"/>
    </w:rPr>
  </w:style>
  <w:style w:type="paragraph" w:styleId="BodyText">
    <w:name w:val="Body Text"/>
    <w:basedOn w:val="Normal"/>
    <w:semiHidden/>
    <w:rsid w:val="008A63D1"/>
    <w:pPr>
      <w:spacing w:after="220" w:line="180" w:lineRule="atLeast"/>
      <w:jc w:val="both"/>
    </w:pPr>
  </w:style>
  <w:style w:type="paragraph" w:customStyle="1" w:styleId="CompanyName">
    <w:name w:val="Company Name"/>
    <w:basedOn w:val="Normal"/>
    <w:semiHidden/>
    <w:rsid w:val="008A63D1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semiHidden/>
    <w:rsid w:val="008A63D1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styleId="Footer">
    <w:name w:val="footer"/>
    <w:basedOn w:val="Normal"/>
    <w:rsid w:val="008A63D1"/>
    <w:pPr>
      <w:keepLines/>
      <w:tabs>
        <w:tab w:val="center" w:pos="4320"/>
        <w:tab w:val="right" w:pos="8640"/>
      </w:tabs>
      <w:spacing w:before="600" w:line="180" w:lineRule="atLeast"/>
      <w:jc w:val="both"/>
    </w:pPr>
    <w:rPr>
      <w:sz w:val="18"/>
    </w:rPr>
  </w:style>
  <w:style w:type="paragraph" w:styleId="MessageHeader">
    <w:name w:val="Message Header"/>
    <w:basedOn w:val="BodyText"/>
    <w:semiHidden/>
    <w:rsid w:val="008A63D1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semiHidden/>
    <w:rsid w:val="008A63D1"/>
    <w:pPr>
      <w:spacing w:before="220"/>
    </w:pPr>
  </w:style>
  <w:style w:type="character" w:customStyle="1" w:styleId="MessageHeaderLabel">
    <w:name w:val="Message Header Label"/>
    <w:semiHidden/>
    <w:rsid w:val="008A63D1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semiHidden/>
    <w:rsid w:val="008A63D1"/>
    <w:pPr>
      <w:pBdr>
        <w:bottom w:val="single" w:sz="6" w:space="15" w:color="auto"/>
      </w:pBdr>
      <w:spacing w:after="320"/>
    </w:pPr>
  </w:style>
  <w:style w:type="character" w:styleId="PageNumber">
    <w:name w:val="page number"/>
    <w:rsid w:val="008A63D1"/>
    <w:rPr>
      <w:sz w:val="18"/>
    </w:rPr>
  </w:style>
  <w:style w:type="paragraph" w:customStyle="1" w:styleId="ReturnAddress">
    <w:name w:val="Return Address"/>
    <w:basedOn w:val="Normal"/>
    <w:semiHidden/>
    <w:rsid w:val="008A63D1"/>
    <w:pPr>
      <w:keepLines/>
      <w:spacing w:line="200" w:lineRule="atLeast"/>
      <w:ind w:left="0"/>
    </w:pPr>
    <w:rPr>
      <w:spacing w:val="-2"/>
      <w:sz w:val="16"/>
    </w:rPr>
  </w:style>
  <w:style w:type="paragraph" w:styleId="Header">
    <w:name w:val="header"/>
    <w:basedOn w:val="Normal"/>
    <w:rsid w:val="008A63D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16E52"/>
    <w:pPr>
      <w:ind w:left="835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3A1AD5"/>
    <w:rPr>
      <w:sz w:val="20"/>
    </w:rPr>
  </w:style>
  <w:style w:type="character" w:styleId="FootnoteReference">
    <w:name w:val="footnote reference"/>
    <w:basedOn w:val="DefaultParagraphFont"/>
    <w:semiHidden/>
    <w:rsid w:val="003A1AD5"/>
    <w:rPr>
      <w:vertAlign w:val="superscript"/>
    </w:rPr>
  </w:style>
  <w:style w:type="paragraph" w:styleId="Caption">
    <w:name w:val="caption"/>
    <w:basedOn w:val="Normal"/>
    <w:next w:val="Normal"/>
    <w:qFormat/>
    <w:rsid w:val="00714035"/>
    <w:pPr>
      <w:spacing w:before="120" w:after="120"/>
    </w:pPr>
    <w:rPr>
      <w:b/>
      <w:bCs/>
      <w:sz w:val="20"/>
    </w:rPr>
  </w:style>
  <w:style w:type="paragraph" w:styleId="BalloonText">
    <w:name w:val="Balloon Text"/>
    <w:basedOn w:val="Normal"/>
    <w:semiHidden/>
    <w:rsid w:val="003767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ln w="44450"/>
          </c:spPr>
          <c:marker>
            <c:symbol val="none"/>
          </c:marker>
          <c:cat>
            <c:strRef>
              <c:f>Sheet1!$A$2:$A$11</c:f>
              <c:strCache>
                <c:ptCount val="10"/>
                <c:pt idx="0">
                  <c:v>Year 10</c:v>
                </c:pt>
                <c:pt idx="1">
                  <c:v>Year 9</c:v>
                </c:pt>
                <c:pt idx="2">
                  <c:v>Year 8</c:v>
                </c:pt>
                <c:pt idx="3">
                  <c:v>Year 7</c:v>
                </c:pt>
                <c:pt idx="4">
                  <c:v>Year 6</c:v>
                </c:pt>
                <c:pt idx="5">
                  <c:v>Year 5</c:v>
                </c:pt>
                <c:pt idx="6">
                  <c:v>Year 4</c:v>
                </c:pt>
                <c:pt idx="7">
                  <c:v>Year 3</c:v>
                </c:pt>
                <c:pt idx="8">
                  <c:v>Year 2</c:v>
                </c:pt>
                <c:pt idx="9">
                  <c:v>Year 1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26.68</c:v>
                </c:pt>
                <c:pt idx="1">
                  <c:v>25.3</c:v>
                </c:pt>
                <c:pt idx="2">
                  <c:v>24.57</c:v>
                </c:pt>
                <c:pt idx="3">
                  <c:v>24.110000000000003</c:v>
                </c:pt>
                <c:pt idx="4">
                  <c:v>29.86</c:v>
                </c:pt>
                <c:pt idx="5">
                  <c:v>23.53</c:v>
                </c:pt>
                <c:pt idx="6">
                  <c:v>22.87</c:v>
                </c:pt>
                <c:pt idx="7">
                  <c:v>20.18</c:v>
                </c:pt>
                <c:pt idx="8">
                  <c:v>17.34</c:v>
                </c:pt>
                <c:pt idx="9">
                  <c:v>12.450000000000001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6885888"/>
        <c:axId val="86887424"/>
      </c:lineChart>
      <c:catAx>
        <c:axId val="8688588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86887424"/>
        <c:crosses val="autoZero"/>
        <c:auto val="1"/>
        <c:lblAlgn val="ctr"/>
        <c:lblOffset val="100"/>
        <c:noMultiLvlLbl val="0"/>
      </c:catAx>
      <c:valAx>
        <c:axId val="8688742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>
                    <a:latin typeface="Times New Roman" pitchFamily="18" charset="0"/>
                    <a:cs typeface="Times New Roman" pitchFamily="18" charset="0"/>
                  </a:rPr>
                  <a:t>Market Price (End of Year)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8688588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54616-523E-4222-9793-F25FA687A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360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</vt:lpstr>
    </vt:vector>
  </TitlesOfParts>
  <Company>Home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</dc:title>
  <dc:creator>Default</dc:creator>
  <cp:lastModifiedBy>Richard Weaver</cp:lastModifiedBy>
  <cp:revision>3</cp:revision>
  <cp:lastPrinted>2003-04-17T12:19:00Z</cp:lastPrinted>
  <dcterms:created xsi:type="dcterms:W3CDTF">2013-10-30T14:56:00Z</dcterms:created>
  <dcterms:modified xsi:type="dcterms:W3CDTF">2013-10-31T17:53:00Z</dcterms:modified>
</cp:coreProperties>
</file>